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sz w:val="22"/>
          <w:szCs w:val="22"/>
        </w:rPr>
      </w:pPr>
      <w:r>
        <w:rPr>
          <w:rFonts w:ascii="Arial" w:hAnsi="Arial" w:cs="Arial"/>
        </w:rPr>
        <w:t>ANNUAL LEAVE POLICY</w:t>
      </w:r>
    </w:p>
    <w:p>
      <w:pPr>
        <w:pStyle w:val="BodyText"/>
        <w:spacing w:line="276" w:lineRule="auto"/>
        <w:rPr>
          <w:rFonts w:ascii="Arial" w:hAnsi="Arial" w:cs="Arial"/>
        </w:rPr>
      </w:pPr>
      <w:r>
        <w:rPr>
          <w:rFonts w:ascii="Arial" w:hAnsi="Arial" w:cs="Arial"/>
        </w:rPr>
        <w:t>This template policy is intended to assist member businesses develop their own workplace policy. The following information should be used as a guide only. Any wording ch</w:t>
      </w:r>
      <w:bookmarkStart w:id="0" w:name="_GoBack"/>
      <w:bookmarkEnd w:id="0"/>
      <w:r>
        <w:rPr>
          <w:rFonts w:ascii="Arial" w:hAnsi="Arial" w:cs="Arial"/>
        </w:rPr>
        <w:t>anges, other than those to insert a business name, may change the context, meaning or purpose of the policy. We recommend you receive advice from the Victorian Chamber of Commerce and Industry prior to making such changes.</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BodyText"/>
        <w:spacing w:line="276" w:lineRule="auto"/>
        <w:rPr>
          <w:rFonts w:ascii="Arial" w:hAnsi="Arial" w:cs="Arial"/>
          <w:bCs/>
        </w:rPr>
      </w:pPr>
      <w:r>
        <w:rPr>
          <w:rFonts w:ascii="Arial" w:hAnsi="Arial" w:cs="Arial"/>
          <w:bCs/>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bCs/>
        </w:rPr>
      </w:pPr>
      <w:r>
        <w:rPr>
          <w:rFonts w:ascii="Arial" w:hAnsi="Arial" w:cs="Arial"/>
          <w:bCs/>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bCs/>
        </w:rPr>
        <w:t xml:space="preserve">For assistance or more information, please contact the Workplace Relations Advice Line on </w:t>
      </w:r>
      <w:r>
        <w:rPr>
          <w:rFonts w:ascii="Arial" w:hAnsi="Arial" w:cs="Arial"/>
          <w:b/>
          <w:bCs/>
        </w:rPr>
        <w:t>(03) 8662 5222.</w:t>
      </w:r>
    </w:p>
    <w:p>
      <w:pPr>
        <w:pStyle w:val="DisclaimerHeading"/>
        <w:spacing w:line="276" w:lineRule="auto"/>
        <w:rPr>
          <w:rFonts w:ascii="Arial" w:hAnsi="Arial" w:cs="Arial"/>
        </w:rPr>
      </w:pPr>
    </w:p>
    <w:p>
      <w:pPr>
        <w:pStyle w:val="DisclaimerHeading"/>
        <w:spacing w:line="276" w:lineRule="auto"/>
        <w:rPr>
          <w:rFonts w:ascii="Arial" w:hAnsi="Arial" w:cs="Arial"/>
        </w:rPr>
      </w:pPr>
      <w:r>
        <w:rPr>
          <w:rFonts w:ascii="Arial" w:hAnsi="Arial" w:cs="Arial"/>
        </w:rPr>
        <w:t>Disclaimer</w:t>
      </w:r>
    </w:p>
    <w:p>
      <w:pPr>
        <w:pStyle w:val="DisclaimerBodyText"/>
        <w:spacing w:line="276" w:lineRule="auto"/>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ANNUAL LEAVE POLICY</w:t>
      </w:r>
    </w:p>
    <w:p>
      <w:pPr>
        <w:pStyle w:val="Bodytextwithline"/>
        <w:rPr>
          <w:rFonts w:ascii="Arial" w:hAnsi="Arial" w:cs="Arial"/>
          <w:b/>
          <w:u w:val="single"/>
        </w:rPr>
      </w:pPr>
      <w:r>
        <w:rPr>
          <w:rFonts w:ascii="Arial" w:hAnsi="Arial" w:cs="Arial"/>
        </w:rPr>
        <w:t>Date of issue:</w:t>
      </w:r>
      <w:r>
        <w:rPr>
          <w:rFonts w:ascii="Arial" w:hAnsi="Arial" w:cs="Arial"/>
        </w:rPr>
        <w:tab/>
      </w:r>
      <w:r>
        <w:rPr>
          <w:rFonts w:ascii="Arial" w:hAnsi="Arial" w:cs="Arial"/>
        </w:rPr>
        <w:tab/>
      </w:r>
    </w:p>
    <w:p>
      <w:pPr>
        <w:pStyle w:val="Bodytextwithline"/>
        <w:rPr>
          <w:rFonts w:ascii="Arial" w:hAnsi="Arial" w:cs="Arial"/>
          <w:b/>
          <w:u w:val="single"/>
        </w:rPr>
      </w:pPr>
      <w:r>
        <w:rPr>
          <w:rFonts w:ascii="Arial" w:hAnsi="Arial" w:cs="Arial"/>
        </w:rPr>
        <w:t>Policy approved by:</w:t>
      </w:r>
      <w:r>
        <w:rPr>
          <w:rFonts w:ascii="Arial" w:hAnsi="Arial" w:cs="Arial"/>
        </w:rPr>
        <w:tab/>
      </w:r>
      <w:r>
        <w:rPr>
          <w:rFonts w:ascii="Arial" w:hAnsi="Arial" w:cs="Arial"/>
        </w:rPr>
        <w:tab/>
      </w:r>
    </w:p>
    <w:p>
      <w:pPr>
        <w:pStyle w:val="Bodytextwithline"/>
        <w:rPr>
          <w:rFonts w:ascii="Arial" w:hAnsi="Arial" w:cs="Arial"/>
          <w:b/>
          <w:u w:val="single"/>
        </w:rPr>
      </w:pPr>
      <w:r>
        <w:rPr>
          <w:rFonts w:ascii="Arial" w:hAnsi="Arial" w:cs="Arial"/>
        </w:rPr>
        <w:t>Contact person:</w:t>
      </w:r>
      <w:r>
        <w:rPr>
          <w:rFonts w:ascii="Arial" w:hAnsi="Arial" w:cs="Arial"/>
        </w:rPr>
        <w:tab/>
      </w:r>
      <w:r>
        <w:rPr>
          <w:rFonts w:ascii="Arial" w:hAnsi="Arial" w:cs="Arial"/>
        </w:rPr>
        <w:tab/>
      </w:r>
    </w:p>
    <w:p>
      <w:pPr>
        <w:pStyle w:val="Heading2"/>
        <w:spacing w:line="276" w:lineRule="auto"/>
        <w:rPr>
          <w:rFonts w:ascii="Arial" w:hAnsi="Arial" w:cs="Arial"/>
        </w:rPr>
      </w:pPr>
      <w:r>
        <w:rPr>
          <w:rFonts w:ascii="Arial" w:hAnsi="Arial" w:cs="Arial"/>
        </w:rPr>
        <w:t>1</w:t>
      </w:r>
      <w:r>
        <w:rPr>
          <w:rFonts w:ascii="Arial" w:hAnsi="Arial" w:cs="Arial"/>
        </w:rPr>
        <w:tab/>
        <w:t>PURPOSE</w:t>
      </w:r>
    </w:p>
    <w:p>
      <w:pPr>
        <w:pStyle w:val="BodyText"/>
        <w:spacing w:line="276" w:lineRule="auto"/>
        <w:rPr>
          <w:rFonts w:ascii="Arial" w:hAnsi="Arial" w:cs="Arial"/>
        </w:rPr>
      </w:pPr>
      <w:r>
        <w:rPr>
          <w:rFonts w:ascii="Arial" w:hAnsi="Arial" w:cs="Arial"/>
        </w:rPr>
        <w:t>The purpose of this policy is to establish procedures and guidelines for employees who wish to take annual leave.</w:t>
      </w:r>
    </w:p>
    <w:p>
      <w:pPr>
        <w:pStyle w:val="Heading2"/>
        <w:spacing w:line="276" w:lineRule="auto"/>
        <w:rPr>
          <w:rFonts w:ascii="Arial" w:hAnsi="Arial" w:cs="Arial"/>
        </w:rPr>
      </w:pPr>
      <w:r>
        <w:rPr>
          <w:rFonts w:ascii="Arial" w:hAnsi="Arial" w:cs="Arial"/>
        </w:rPr>
        <w:t>2</w:t>
      </w:r>
      <w:r>
        <w:rPr>
          <w:rFonts w:ascii="Arial" w:hAnsi="Arial" w:cs="Arial"/>
        </w:rPr>
        <w:tab/>
        <w:t>APPLICATION</w:t>
      </w:r>
    </w:p>
    <w:p>
      <w:pPr>
        <w:pStyle w:val="BodyText"/>
        <w:spacing w:line="276" w:lineRule="auto"/>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except casual employees. </w:t>
      </w:r>
    </w:p>
    <w:p>
      <w:pPr>
        <w:pStyle w:val="BodyText"/>
        <w:spacing w:line="276" w:lineRule="auto"/>
        <w:rPr>
          <w:rFonts w:ascii="Arial" w:hAnsi="Arial" w:cs="Arial"/>
        </w:rPr>
      </w:pPr>
      <w:r>
        <w:rPr>
          <w:rFonts w:ascii="Arial" w:hAnsi="Arial" w:cs="Arial"/>
          <w:lang w:val="en-GB"/>
        </w:rPr>
        <w:t>The policy is not intended to override the terms of any award, enterprise agreement or contract that applies to an employee.</w:t>
      </w:r>
    </w:p>
    <w:p>
      <w:pPr>
        <w:pStyle w:val="Heading2"/>
        <w:spacing w:line="276" w:lineRule="auto"/>
        <w:rPr>
          <w:rFonts w:ascii="Arial" w:hAnsi="Arial" w:cs="Arial"/>
        </w:rPr>
      </w:pPr>
      <w:r>
        <w:rPr>
          <w:rFonts w:ascii="Arial" w:hAnsi="Arial" w:cs="Arial"/>
        </w:rPr>
        <w:t>3</w:t>
      </w:r>
      <w:r>
        <w:rPr>
          <w:rFonts w:ascii="Arial" w:hAnsi="Arial" w:cs="Arial"/>
        </w:rPr>
        <w:tab/>
        <w:t>POLICY</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Eligibility and accrual</w:t>
      </w:r>
    </w:p>
    <w:p>
      <w:pPr>
        <w:pStyle w:val="BodyText"/>
        <w:spacing w:line="276" w:lineRule="auto"/>
        <w:rPr>
          <w:rFonts w:ascii="Arial" w:hAnsi="Arial" w:cs="Arial"/>
        </w:rPr>
      </w:pPr>
      <w:r>
        <w:rPr>
          <w:rFonts w:ascii="Arial" w:hAnsi="Arial" w:cs="Arial"/>
        </w:rPr>
        <w:t xml:space="preserve">Full time employees shall accrue four (4) weeks’ paid annual leave for each year of service.  An employee will accrue one (1) additional week’s leave if they are described by a relevant modern award or enterprise agreement as a shiftworker for the purposes of the National Employment Standards. </w:t>
      </w:r>
    </w:p>
    <w:p>
      <w:pPr>
        <w:pStyle w:val="BodyText"/>
        <w:spacing w:line="276" w:lineRule="auto"/>
        <w:rPr>
          <w:rFonts w:ascii="Arial" w:hAnsi="Arial" w:cs="Arial"/>
        </w:rPr>
      </w:pPr>
      <w:r>
        <w:rPr>
          <w:rFonts w:ascii="Arial" w:hAnsi="Arial" w:cs="Arial"/>
        </w:rPr>
        <w:t xml:space="preserve">Part-time employees accrue annual leave on a proportionate basis of the entitlement for a full-time employee.  </w:t>
      </w:r>
    </w:p>
    <w:p>
      <w:pPr>
        <w:pStyle w:val="BodyText"/>
        <w:spacing w:line="276" w:lineRule="auto"/>
        <w:rPr>
          <w:rFonts w:ascii="Arial" w:hAnsi="Arial" w:cs="Arial"/>
        </w:rPr>
      </w:pPr>
      <w:r>
        <w:rPr>
          <w:rFonts w:ascii="Arial" w:hAnsi="Arial" w:cs="Arial"/>
        </w:rPr>
        <w:t>An employee’s entitlement to annual leave accrues progressively during a year of service according to the employee’s ordinary hours of work.</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Taking annual leave</w:t>
      </w:r>
    </w:p>
    <w:p>
      <w:pPr>
        <w:pStyle w:val="BodyText"/>
        <w:spacing w:line="276" w:lineRule="auto"/>
        <w:rPr>
          <w:rFonts w:ascii="Arial" w:hAnsi="Arial" w:cs="Arial"/>
          <w:lang w:val="en-GB"/>
        </w:rPr>
      </w:pPr>
      <w:r>
        <w:rPr>
          <w:rFonts w:ascii="Arial" w:hAnsi="Arial" w:cs="Arial"/>
          <w:lang w:val="en-GB"/>
        </w:rPr>
        <w:t xml:space="preserve">Employees are expected to take their full annual leave entitlement during the calendar year. </w:t>
      </w:r>
    </w:p>
    <w:p>
      <w:pPr>
        <w:pStyle w:val="BodyText"/>
        <w:spacing w:line="276" w:lineRule="auto"/>
        <w:rPr>
          <w:rFonts w:ascii="Arial" w:hAnsi="Arial" w:cs="Arial"/>
          <w:lang w:val="en-GB"/>
        </w:rPr>
      </w:pPr>
      <w:r>
        <w:rPr>
          <w:rFonts w:ascii="Arial" w:hAnsi="Arial" w:cs="Arial"/>
          <w:lang w:val="en-GB"/>
        </w:rPr>
        <w:t xml:space="preserve">Annual leave will be taken at a mutually agreeable time having regard to the operational requirements of the business and the personal circumstances of the employee. </w:t>
      </w:r>
      <w:r>
        <w:rPr>
          <w:rFonts w:ascii="Arial" w:hAnsi="Arial" w:cs="Arial"/>
          <w:b/>
        </w:rPr>
        <w:t>[INSERT COMPANY NAME]</w:t>
      </w:r>
      <w:r>
        <w:rPr>
          <w:rFonts w:ascii="Arial" w:hAnsi="Arial" w:cs="Arial"/>
          <w:lang w:val="en-GB"/>
        </w:rPr>
        <w:t xml:space="preserve"> will not unreasonably refuse an employee’s request for annual leave. </w:t>
      </w:r>
    </w:p>
    <w:p>
      <w:pPr>
        <w:pStyle w:val="BodyText"/>
        <w:spacing w:line="276" w:lineRule="auto"/>
        <w:rPr>
          <w:rFonts w:ascii="Arial" w:hAnsi="Arial" w:cs="Arial"/>
          <w:b/>
          <w:bCs/>
          <w:lang w:val="en-GB"/>
        </w:rPr>
      </w:pPr>
      <w:r>
        <w:rPr>
          <w:rFonts w:ascii="Arial" w:hAnsi="Arial" w:cs="Arial"/>
          <w:lang w:val="en-GB"/>
        </w:rPr>
        <w:t xml:space="preserve">Annual leave must be approved in advance, unless it is in circumstances where the employee cannot anticipate the absence. </w:t>
      </w:r>
    </w:p>
    <w:p>
      <w:pPr>
        <w:pStyle w:val="BodyText"/>
        <w:spacing w:line="276" w:lineRule="auto"/>
        <w:rPr>
          <w:rFonts w:ascii="Arial" w:hAnsi="Arial" w:cs="Arial"/>
        </w:rPr>
      </w:pPr>
      <w:r>
        <w:rPr>
          <w:rFonts w:ascii="Arial" w:hAnsi="Arial" w:cs="Arial"/>
          <w:b/>
        </w:rPr>
        <w:t>[INSERT COMPANY NAME]</w:t>
      </w:r>
      <w:r>
        <w:rPr>
          <w:rFonts w:ascii="Arial" w:hAnsi="Arial" w:cs="Arial"/>
          <w:bCs/>
          <w:lang w:val="en-GB"/>
        </w:rPr>
        <w:t xml:space="preserve"> may direct employees to take annual leave during a shutdown over the Christmas and New Year period. Employees will be given at least four (4) weeks’ notice of such a shut down.</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Excessive accumulated leave</w:t>
      </w:r>
    </w:p>
    <w:p>
      <w:pPr>
        <w:pStyle w:val="BodyText"/>
        <w:spacing w:line="276" w:lineRule="auto"/>
        <w:rPr>
          <w:rFonts w:ascii="Arial" w:hAnsi="Arial" w:cs="Arial"/>
        </w:rPr>
      </w:pPr>
      <w:r>
        <w:rPr>
          <w:rFonts w:ascii="Arial" w:hAnsi="Arial" w:cs="Arial"/>
          <w:b/>
        </w:rPr>
        <w:t>[INSERT COMPANY NAME]</w:t>
      </w:r>
      <w:r>
        <w:rPr>
          <w:rFonts w:ascii="Arial" w:hAnsi="Arial" w:cs="Arial"/>
          <w:b/>
          <w:iCs/>
        </w:rPr>
        <w:t xml:space="preserve"> </w:t>
      </w:r>
      <w:r>
        <w:rPr>
          <w:rFonts w:ascii="Arial" w:hAnsi="Arial" w:cs="Arial"/>
          <w:iCs/>
          <w:lang w:val="en-GB"/>
        </w:rPr>
        <w:t>may direct employees to take leave if they have accumulated more than eight (8) weeks annual leave and a direction is allowed for under the relevant industrial instrument. An employee being directed to take leave must be provided with at least eight (8) weeks’ notice in writing.</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Leave in advance of accrued entitlement</w:t>
      </w:r>
    </w:p>
    <w:p>
      <w:pPr>
        <w:pStyle w:val="BodyText"/>
        <w:spacing w:line="276" w:lineRule="auto"/>
        <w:rPr>
          <w:rFonts w:ascii="Arial" w:hAnsi="Arial" w:cs="Arial"/>
        </w:rPr>
      </w:pPr>
      <w:r>
        <w:rPr>
          <w:rFonts w:ascii="Arial" w:hAnsi="Arial" w:cs="Arial"/>
          <w:iCs/>
          <w:lang w:val="en-GB"/>
        </w:rPr>
        <w:t xml:space="preserve">Employees may apply for annual leave in advance of accrued entitlement.  Such requests will be considered on a case by case basis and at the discretion of </w:t>
      </w:r>
      <w:r>
        <w:rPr>
          <w:rFonts w:ascii="Arial" w:hAnsi="Arial" w:cs="Arial"/>
          <w:b/>
        </w:rPr>
        <w:t>[INSERT COMPANY NAME]</w:t>
      </w:r>
      <w:r>
        <w:rPr>
          <w:rFonts w:ascii="Arial" w:hAnsi="Arial" w:cs="Arial"/>
          <w:bCs/>
          <w:iCs/>
          <w:lang w:val="en-GB"/>
        </w:rPr>
        <w:t xml:space="preserve">. </w:t>
      </w:r>
      <w:r>
        <w:rPr>
          <w:rFonts w:ascii="Arial" w:hAnsi="Arial" w:cs="Arial"/>
          <w:iCs/>
          <w:lang w:val="en-GB"/>
        </w:rPr>
        <w:t xml:space="preserve">Approval of leave in advance will be conditional on the employee signing a disclaimer stating that, in the event of termination, they agree that </w:t>
      </w:r>
      <w:r>
        <w:rPr>
          <w:rFonts w:ascii="Arial" w:hAnsi="Arial" w:cs="Arial"/>
          <w:b/>
        </w:rPr>
        <w:t>[INSERT COMPANY NAME]</w:t>
      </w:r>
      <w:r>
        <w:rPr>
          <w:rFonts w:ascii="Arial" w:hAnsi="Arial" w:cs="Arial"/>
          <w:iCs/>
          <w:lang w:val="en-GB"/>
        </w:rPr>
        <w:t xml:space="preserve"> can deduct the amount equivalent to their negative annual leave balance from their final termination pay. The relevant disclaimer is attached to this policy.</w:t>
      </w:r>
    </w:p>
    <w:p>
      <w:pPr>
        <w:pStyle w:val="Heading2"/>
        <w:spacing w:line="276" w:lineRule="auto"/>
        <w:rPr>
          <w:rFonts w:ascii="Arial" w:hAnsi="Arial" w:cs="Arial"/>
          <w:color w:val="00A3E0" w:themeColor="accent3"/>
          <w:sz w:val="22"/>
          <w:szCs w:val="22"/>
        </w:rPr>
      </w:pPr>
      <w:r>
        <w:rPr>
          <w:rFonts w:ascii="Arial" w:hAnsi="Arial" w:cs="Arial"/>
          <w:iCs/>
          <w:color w:val="00A3E0" w:themeColor="accent3"/>
          <w:sz w:val="22"/>
          <w:szCs w:val="22"/>
          <w:lang w:val="en-GB"/>
        </w:rPr>
        <w:lastRenderedPageBreak/>
        <w:t>Rate of pay</w:t>
      </w:r>
    </w:p>
    <w:p>
      <w:pPr>
        <w:pStyle w:val="BodyText"/>
        <w:spacing w:line="276" w:lineRule="auto"/>
        <w:rPr>
          <w:rFonts w:ascii="Arial" w:hAnsi="Arial" w:cs="Arial"/>
        </w:rPr>
      </w:pPr>
      <w:r>
        <w:rPr>
          <w:rFonts w:ascii="Arial" w:hAnsi="Arial" w:cs="Arial"/>
          <w:iCs/>
          <w:lang w:val="en-GB"/>
        </w:rPr>
        <w:t>Annual leave is paid at the employee’s base rate of pay. A loading of 17.5% will also be payable if required by the relevant industrial instrument.</w:t>
      </w:r>
    </w:p>
    <w:p>
      <w:pPr>
        <w:pStyle w:val="Heading2"/>
        <w:spacing w:line="276" w:lineRule="auto"/>
        <w:rPr>
          <w:rFonts w:ascii="Arial" w:hAnsi="Arial" w:cs="Arial"/>
          <w:color w:val="00A3E0" w:themeColor="accent3"/>
          <w:sz w:val="22"/>
          <w:szCs w:val="22"/>
        </w:rPr>
      </w:pPr>
      <w:r>
        <w:rPr>
          <w:rFonts w:ascii="Arial" w:hAnsi="Arial" w:cs="Arial"/>
          <w:iCs/>
          <w:color w:val="00A3E0" w:themeColor="accent3"/>
          <w:sz w:val="22"/>
          <w:szCs w:val="22"/>
          <w:lang w:val="en-GB"/>
        </w:rPr>
        <w:t>Public holidays</w:t>
      </w:r>
    </w:p>
    <w:p>
      <w:pPr>
        <w:pStyle w:val="BodyText"/>
        <w:spacing w:line="276" w:lineRule="auto"/>
        <w:rPr>
          <w:rFonts w:ascii="Arial" w:hAnsi="Arial" w:cs="Arial"/>
        </w:rPr>
      </w:pPr>
      <w:r>
        <w:rPr>
          <w:rFonts w:ascii="Arial" w:hAnsi="Arial" w:cs="Arial"/>
          <w:iCs/>
          <w:lang w:val="en-GB"/>
        </w:rPr>
        <w:t>If a public holiday falls during a period of annual leave, the holiday will not be counted as annual leave.</w:t>
      </w:r>
    </w:p>
    <w:p>
      <w:pPr>
        <w:pStyle w:val="Heading2"/>
        <w:spacing w:line="276" w:lineRule="auto"/>
        <w:rPr>
          <w:rFonts w:ascii="Arial" w:hAnsi="Arial" w:cs="Arial"/>
          <w:color w:val="00A3E0" w:themeColor="accent3"/>
          <w:sz w:val="22"/>
          <w:szCs w:val="22"/>
        </w:rPr>
      </w:pPr>
      <w:r>
        <w:rPr>
          <w:rFonts w:ascii="Arial" w:hAnsi="Arial" w:cs="Arial"/>
          <w:iCs/>
          <w:color w:val="00A3E0" w:themeColor="accent3"/>
          <w:sz w:val="22"/>
          <w:szCs w:val="22"/>
          <w:lang w:val="en-GB"/>
        </w:rPr>
        <w:t>Illness during annual leave</w:t>
      </w:r>
    </w:p>
    <w:p>
      <w:pPr>
        <w:pStyle w:val="BodyText"/>
        <w:spacing w:line="276" w:lineRule="auto"/>
        <w:rPr>
          <w:rFonts w:ascii="Arial" w:hAnsi="Arial" w:cs="Arial"/>
        </w:rPr>
      </w:pPr>
      <w:r>
        <w:rPr>
          <w:rFonts w:ascii="Arial" w:hAnsi="Arial" w:cs="Arial"/>
          <w:iCs/>
          <w:lang w:val="en-GB"/>
        </w:rPr>
        <w:t>If an employee is sick during a period of annual leave, they may convert annual leave to sick leave if the employee provides a medical certificate to cover the period.</w:t>
      </w:r>
    </w:p>
    <w:p>
      <w:pPr>
        <w:pStyle w:val="Heading2"/>
        <w:spacing w:line="276" w:lineRule="auto"/>
        <w:rPr>
          <w:rFonts w:ascii="Arial" w:hAnsi="Arial" w:cs="Arial"/>
          <w:color w:val="00A3E0" w:themeColor="accent3"/>
          <w:sz w:val="22"/>
          <w:szCs w:val="22"/>
        </w:rPr>
      </w:pPr>
      <w:r>
        <w:rPr>
          <w:rFonts w:ascii="Arial" w:hAnsi="Arial" w:cs="Arial"/>
          <w:iCs/>
          <w:color w:val="00A3E0" w:themeColor="accent3"/>
          <w:sz w:val="22"/>
          <w:szCs w:val="22"/>
          <w:lang w:val="en-GB"/>
        </w:rPr>
        <w:t>Payment of annual leave on termination</w:t>
      </w:r>
    </w:p>
    <w:p>
      <w:pPr>
        <w:pStyle w:val="BodyText"/>
        <w:spacing w:line="276" w:lineRule="auto"/>
        <w:rPr>
          <w:rFonts w:ascii="Arial" w:hAnsi="Arial" w:cs="Arial"/>
        </w:rPr>
      </w:pPr>
      <w:r>
        <w:rPr>
          <w:rFonts w:ascii="Arial" w:hAnsi="Arial" w:cs="Arial"/>
          <w:iCs/>
          <w:lang w:val="en-GB"/>
        </w:rPr>
        <w:t>Accrued annual leave entitlements will be paid out on termination.</w:t>
      </w:r>
    </w:p>
    <w:p>
      <w:pPr>
        <w:pStyle w:val="Heading2"/>
        <w:spacing w:line="276" w:lineRule="auto"/>
        <w:rPr>
          <w:rFonts w:ascii="Arial" w:hAnsi="Arial" w:cs="Arial"/>
        </w:rPr>
      </w:pPr>
      <w:r>
        <w:rPr>
          <w:rFonts w:ascii="Arial" w:hAnsi="Arial" w:cs="Arial"/>
        </w:rPr>
        <w:t>4</w:t>
      </w:r>
      <w:r>
        <w:rPr>
          <w:rFonts w:ascii="Arial" w:hAnsi="Arial" w:cs="Arial"/>
        </w:rPr>
        <w:tab/>
        <w:t>POLICY REVIEW</w:t>
      </w:r>
    </w:p>
    <w:p>
      <w:pPr>
        <w:pStyle w:val="BodyText"/>
        <w:spacing w:line="276" w:lineRule="auto"/>
        <w:rPr>
          <w:rFonts w:ascii="Arial" w:hAnsi="Arial" w:cs="Arial"/>
          <w:bCs/>
          <w:iCs/>
          <w:lang w:val="en-GB"/>
        </w:rPr>
      </w:pPr>
      <w:r>
        <w:rPr>
          <w:rFonts w:ascii="Arial" w:hAnsi="Arial" w:cs="Arial"/>
          <w:b/>
          <w:iCs/>
        </w:rPr>
        <w:t>[INSERT COMPANY NAME]</w:t>
      </w:r>
      <w:r>
        <w:rPr>
          <w:rFonts w:ascii="Arial" w:hAnsi="Arial" w:cs="Arial"/>
          <w:b/>
          <w:bCs/>
          <w:iCs/>
        </w:rPr>
        <w:t xml:space="preserve"> </w:t>
      </w:r>
      <w:r>
        <w:rPr>
          <w:rFonts w:ascii="Arial" w:hAnsi="Arial" w:cs="Arial"/>
          <w:bCs/>
          <w:iCs/>
          <w:lang w:val="en-GB"/>
        </w:rPr>
        <w:t>may make changes to this policy from time to time to improve the effectiveness of its operation.</w:t>
      </w:r>
    </w:p>
    <w:p>
      <w:pPr>
        <w:pStyle w:val="BodyText"/>
        <w:spacing w:line="276" w:lineRule="auto"/>
        <w:rPr>
          <w:rFonts w:ascii="Arial" w:hAnsi="Arial" w:cs="Arial"/>
          <w:bCs/>
          <w:iCs/>
          <w:lang w:val="en-GB"/>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spacing w:line="276" w:lineRule="auto"/>
        <w:rPr>
          <w:rFonts w:ascii="Arial" w:hAnsi="Arial" w:cs="Arial"/>
          <w:lang w:val="en-GB"/>
        </w:rPr>
      </w:pPr>
    </w:p>
    <w:p>
      <w:pPr>
        <w:pStyle w:val="Heading1"/>
        <w:spacing w:line="276" w:lineRule="auto"/>
        <w:rPr>
          <w:rFonts w:ascii="Arial" w:hAnsi="Arial" w:cs="Arial"/>
        </w:rPr>
      </w:pPr>
      <w:r>
        <w:rPr>
          <w:rFonts w:ascii="Arial" w:hAnsi="Arial" w:cs="Arial"/>
        </w:rPr>
        <w:lastRenderedPageBreak/>
        <w:t xml:space="preserve">ANNUAL LEAVE IN ADVANCE - ACCEPTANCE AND ACKNOWLEDGMENT </w:t>
      </w:r>
    </w:p>
    <w:p>
      <w:pPr>
        <w:pStyle w:val="Heading1"/>
        <w:spacing w:line="276" w:lineRule="auto"/>
        <w:rPr>
          <w:rFonts w:ascii="Arial" w:hAnsi="Arial" w:cs="Arial"/>
        </w:rPr>
      </w:pPr>
      <w:r>
        <w:rPr>
          <w:rFonts w:ascii="Arial" w:hAnsi="Arial" w:cs="Arial"/>
        </w:rPr>
        <w:t>OF DEDUCTION FROM FINAL TERMINATION PAYMENT</w:t>
      </w:r>
    </w:p>
    <w:p>
      <w:pPr>
        <w:pStyle w:val="BulletPointSpacingBefore"/>
        <w:numPr>
          <w:ilvl w:val="0"/>
          <w:numId w:val="0"/>
        </w:numPr>
        <w:spacing w:line="276" w:lineRule="auto"/>
        <w:rPr>
          <w:rFonts w:ascii="Arial" w:hAnsi="Arial" w:cs="Arial"/>
        </w:rPr>
      </w:pPr>
    </w:p>
    <w:p>
      <w:pPr>
        <w:pStyle w:val="BulletPointSpacingBefore"/>
        <w:spacing w:line="276" w:lineRule="auto"/>
        <w:rPr>
          <w:rFonts w:ascii="Arial" w:hAnsi="Arial" w:cs="Arial"/>
        </w:rPr>
      </w:pPr>
      <w:r>
        <w:rPr>
          <w:rFonts w:ascii="Arial" w:hAnsi="Arial" w:cs="Arial"/>
          <w:lang w:val="en-GB"/>
        </w:rPr>
        <w:t>Number of annual leave days taken in advance</w:t>
      </w:r>
      <w:r>
        <w:rPr>
          <w:rFonts w:ascii="Arial" w:hAnsi="Arial" w:cs="Arial"/>
          <w:lang w:val="en-GB"/>
        </w:rPr>
        <w:tab/>
        <w:t xml:space="preserve"> ______ days</w:t>
      </w:r>
    </w:p>
    <w:p>
      <w:pPr>
        <w:pStyle w:val="BulletPointSpacingBefore"/>
        <w:numPr>
          <w:ilvl w:val="0"/>
          <w:numId w:val="0"/>
        </w:numPr>
        <w:spacing w:line="276" w:lineRule="auto"/>
        <w:rPr>
          <w:rFonts w:ascii="Arial" w:hAnsi="Arial" w:cs="Arial"/>
        </w:rPr>
      </w:pPr>
    </w:p>
    <w:p>
      <w:pPr>
        <w:pStyle w:val="bulletpoint"/>
        <w:spacing w:line="276" w:lineRule="auto"/>
        <w:rPr>
          <w:rFonts w:ascii="Arial" w:hAnsi="Arial" w:cs="Arial"/>
        </w:rPr>
      </w:pPr>
      <w:r>
        <w:rPr>
          <w:rFonts w:ascii="Arial" w:hAnsi="Arial" w:cs="Arial"/>
          <w:lang w:val="en-GB"/>
        </w:rPr>
        <w:t xml:space="preserve">Current value of leave taken in advance </w:t>
      </w:r>
      <w:r>
        <w:rPr>
          <w:rFonts w:ascii="Arial" w:hAnsi="Arial" w:cs="Arial"/>
          <w:lang w:val="en-GB"/>
        </w:rPr>
        <w:tab/>
      </w:r>
      <w:r>
        <w:rPr>
          <w:rFonts w:ascii="Arial" w:hAnsi="Arial" w:cs="Arial"/>
          <w:lang w:val="en-GB"/>
        </w:rPr>
        <w:tab/>
        <w:t>$______</w:t>
      </w:r>
    </w:p>
    <w:p>
      <w:pPr>
        <w:spacing w:line="276" w:lineRule="auto"/>
        <w:ind w:left="568"/>
        <w:rPr>
          <w:rFonts w:ascii="Arial" w:hAnsi="Arial" w:cs="Arial"/>
          <w:b/>
          <w:bCs/>
          <w:lang w:val="en-GB"/>
        </w:rPr>
      </w:pPr>
      <w:r>
        <w:rPr>
          <w:rFonts w:ascii="Arial" w:hAnsi="Arial" w:cs="Arial"/>
          <w:lang w:val="en-GB"/>
        </w:rPr>
        <w:t>(For consent to deduct purposes)</w:t>
      </w:r>
    </w:p>
    <w:p>
      <w:pPr>
        <w:spacing w:line="276" w:lineRule="auto"/>
        <w:rPr>
          <w:rFonts w:ascii="Arial" w:hAnsi="Arial" w:cs="Arial"/>
          <w:lang w:val="en-GB"/>
        </w:rPr>
      </w:pPr>
    </w:p>
    <w:p>
      <w:pPr>
        <w:pStyle w:val="BodyText"/>
        <w:spacing w:line="276" w:lineRule="auto"/>
        <w:rPr>
          <w:rFonts w:ascii="Arial" w:hAnsi="Arial" w:cs="Arial"/>
        </w:rPr>
      </w:pPr>
      <w:r>
        <w:rPr>
          <w:rFonts w:ascii="Arial" w:hAnsi="Arial" w:cs="Arial"/>
          <w:lang w:val="en-GB"/>
        </w:rPr>
        <w:t xml:space="preserve">In the event of my leaving </w:t>
      </w:r>
      <w:r>
        <w:rPr>
          <w:rFonts w:ascii="Arial" w:hAnsi="Arial" w:cs="Arial"/>
          <w:b/>
        </w:rPr>
        <w:t>[INSERT COMPANY NAME]</w:t>
      </w:r>
      <w:r>
        <w:rPr>
          <w:rFonts w:ascii="Arial" w:hAnsi="Arial" w:cs="Arial"/>
          <w:lang w:val="en-GB"/>
        </w:rPr>
        <w:t xml:space="preserve"> with a negative annual leave balance as a consequence of taking leave in advance, I agree and authorise </w:t>
      </w:r>
      <w:r>
        <w:rPr>
          <w:rFonts w:ascii="Arial" w:hAnsi="Arial" w:cs="Arial"/>
          <w:b/>
        </w:rPr>
        <w:t>[INSERT COMPANY NAME]</w:t>
      </w:r>
      <w:r>
        <w:rPr>
          <w:rFonts w:ascii="Arial" w:hAnsi="Arial" w:cs="Arial"/>
          <w:lang w:val="en-GB"/>
        </w:rPr>
        <w:t xml:space="preserve"> to deduct the amount equivalent to the value of the negative annual leave balance (as at the date of termination) from my final termination payment. In the instance where </w:t>
      </w:r>
      <w:r>
        <w:rPr>
          <w:rFonts w:ascii="Arial" w:hAnsi="Arial" w:cs="Arial"/>
          <w:b/>
        </w:rPr>
        <w:t>[INSERT COMPANY NAME]</w:t>
      </w:r>
      <w:r>
        <w:rPr>
          <w:rFonts w:ascii="Arial" w:hAnsi="Arial" w:cs="Arial"/>
          <w:lang w:val="en-GB"/>
        </w:rPr>
        <w:t xml:space="preserve"> owes me no outstanding monies upon separation, I agree to pay </w:t>
      </w:r>
      <w:r>
        <w:rPr>
          <w:rFonts w:ascii="Arial" w:hAnsi="Arial" w:cs="Arial"/>
          <w:b/>
        </w:rPr>
        <w:t>[INSERT COMPANY NAME]</w:t>
      </w:r>
      <w:r>
        <w:rPr>
          <w:rFonts w:ascii="Arial" w:hAnsi="Arial" w:cs="Arial"/>
          <w:lang w:val="en-GB"/>
        </w:rPr>
        <w:t xml:space="preserve"> this amount in full.</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Annual Leave Policy V1</w:t>
    </w:r>
    <w:r>
      <w:rPr>
        <w:sz w:val="16"/>
        <w:szCs w:val="16"/>
      </w:rPr>
      <w:t xml:space="preserve"> 01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31348835" wp14:editId="475A2083">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593B6D"/>
    <w:multiLevelType w:val="hybridMultilevel"/>
    <w:tmpl w:val="A018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5"/>
  </w:num>
  <w:num w:numId="8">
    <w:abstractNumId w:val="12"/>
  </w:num>
  <w:num w:numId="9">
    <w:abstractNumId w:val="11"/>
  </w:num>
  <w:num w:numId="10">
    <w:abstractNumId w:val="4"/>
  </w:num>
  <w:num w:numId="11">
    <w:abstractNumId w:val="7"/>
  </w:num>
  <w:num w:numId="12">
    <w:abstractNumId w:val="13"/>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75"/>
    <w:rsid w:val="00003826"/>
    <w:rsid w:val="000135F5"/>
    <w:rsid w:val="000669ED"/>
    <w:rsid w:val="00080BA6"/>
    <w:rsid w:val="00084220"/>
    <w:rsid w:val="000A62DE"/>
    <w:rsid w:val="000B191E"/>
    <w:rsid w:val="000C4B1B"/>
    <w:rsid w:val="000C6A20"/>
    <w:rsid w:val="00154032"/>
    <w:rsid w:val="001905B2"/>
    <w:rsid w:val="00191FC7"/>
    <w:rsid w:val="001E4D71"/>
    <w:rsid w:val="001E72B8"/>
    <w:rsid w:val="00236EEE"/>
    <w:rsid w:val="002633C4"/>
    <w:rsid w:val="00283F6D"/>
    <w:rsid w:val="00287732"/>
    <w:rsid w:val="002D32DE"/>
    <w:rsid w:val="002D72F9"/>
    <w:rsid w:val="003104BA"/>
    <w:rsid w:val="003251D1"/>
    <w:rsid w:val="0033442A"/>
    <w:rsid w:val="00334FBD"/>
    <w:rsid w:val="00357CE5"/>
    <w:rsid w:val="00361DE0"/>
    <w:rsid w:val="00375E41"/>
    <w:rsid w:val="003A7EA8"/>
    <w:rsid w:val="003C0902"/>
    <w:rsid w:val="003C3F65"/>
    <w:rsid w:val="00406C7E"/>
    <w:rsid w:val="0041340C"/>
    <w:rsid w:val="00436A8F"/>
    <w:rsid w:val="00491988"/>
    <w:rsid w:val="0052159D"/>
    <w:rsid w:val="00554C2C"/>
    <w:rsid w:val="00556A41"/>
    <w:rsid w:val="00576D64"/>
    <w:rsid w:val="005C1EE9"/>
    <w:rsid w:val="005F51D6"/>
    <w:rsid w:val="0060282D"/>
    <w:rsid w:val="00613ED1"/>
    <w:rsid w:val="006439BD"/>
    <w:rsid w:val="00644A5D"/>
    <w:rsid w:val="00652018"/>
    <w:rsid w:val="0067244D"/>
    <w:rsid w:val="00677809"/>
    <w:rsid w:val="00680DC2"/>
    <w:rsid w:val="006F09D0"/>
    <w:rsid w:val="006F1EA9"/>
    <w:rsid w:val="00742D4F"/>
    <w:rsid w:val="00746876"/>
    <w:rsid w:val="00757841"/>
    <w:rsid w:val="0077449D"/>
    <w:rsid w:val="007749B6"/>
    <w:rsid w:val="0077722F"/>
    <w:rsid w:val="007B4C31"/>
    <w:rsid w:val="007C0473"/>
    <w:rsid w:val="007C31B5"/>
    <w:rsid w:val="00843D75"/>
    <w:rsid w:val="008D27EF"/>
    <w:rsid w:val="008F1609"/>
    <w:rsid w:val="008F465C"/>
    <w:rsid w:val="00910CB0"/>
    <w:rsid w:val="009259CF"/>
    <w:rsid w:val="009B7C42"/>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654FE"/>
    <w:rsid w:val="00BC7B8D"/>
    <w:rsid w:val="00C11880"/>
    <w:rsid w:val="00C234B3"/>
    <w:rsid w:val="00C4237F"/>
    <w:rsid w:val="00C87F52"/>
    <w:rsid w:val="00C90EB9"/>
    <w:rsid w:val="00CA70AC"/>
    <w:rsid w:val="00CB661F"/>
    <w:rsid w:val="00CF723E"/>
    <w:rsid w:val="00CF76F8"/>
    <w:rsid w:val="00D02660"/>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AA49ED4-E264-4EF2-B8EE-0ED413D8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999</Words>
  <Characters>5695</Characters>
  <DocSecurity>0</DocSecurity>
  <Lines>47</Lines>
  <Paragraphs>13</Paragraphs>
  <ScaleCrop>false</ScaleCrop>
  <HeadingPairs>
    <vt:vector size="2" baseType="variant">
      <vt:variant>
        <vt:lpstr>Title</vt:lpstr>
      </vt:variant>
      <vt:variant>
        <vt:i4>1</vt:i4>
      </vt:variant>
    </vt:vector>
  </HeadingPairs>
  <LinksUpToDate>false</LinksUpToDate>
  <CharactersWithSpaces>6681</CharactersWithSpaces>
  <SharedDoc>false</SharedDoc>
  <HyperlinksChanged>false</HyperlinksChanged>
</Properties>
</file>