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spacing w:line="276" w:lineRule="auto"/>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COMMUNITY SERVICE LEAVE POLICY</w:t>
      </w:r>
    </w:p>
    <w:p>
      <w:pPr>
        <w:tabs>
          <w:tab w:val="left" w:pos="7437"/>
        </w:tabs>
        <w:spacing w:before="120" w:line="276" w:lineRule="auto"/>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bookmarkStart w:id="0" w:name="_GoBack"/>
      <w:bookmarkEnd w:id="0"/>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pPr>
        <w:pStyle w:val="DisclaimerHeading"/>
        <w:spacing w:line="276" w:lineRule="auto"/>
        <w:jc w:val="both"/>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jc w:val="both"/>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jc w:val="both"/>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spacing w:after="0" w:line="276" w:lineRule="auto"/>
        <w:jc w:val="both"/>
        <w:rPr>
          <w:rFonts w:ascii="Arial" w:hAnsi="Arial" w:cs="Arial"/>
          <w:b/>
          <w:bCs/>
          <w:sz w:val="16"/>
          <w:szCs w:val="16"/>
        </w:rPr>
      </w:pPr>
      <w:r>
        <w:rPr>
          <w:rFonts w:ascii="Arial" w:hAnsi="Arial" w:cs="Arial"/>
          <w:b/>
          <w:bCs/>
          <w:sz w:val="16"/>
          <w:szCs w:val="16"/>
        </w:rPr>
        <w:t xml:space="preserve">Disclaimer </w:t>
      </w:r>
    </w:p>
    <w:p>
      <w:pPr>
        <w:spacing w:after="0" w:line="276" w:lineRule="auto"/>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hAnsi="Arial" w:cs="Arial"/>
        </w:rPr>
      </w:pPr>
      <w:r>
        <w:rPr>
          <w:rFonts w:ascii="Arial" w:hAnsi="Arial" w:cs="Arial"/>
        </w:rPr>
        <w:lastRenderedPageBreak/>
        <w:t>COMMUNITY SERVICE LEAVE</w:t>
      </w:r>
    </w:p>
    <w:p>
      <w:pPr>
        <w:pStyle w:val="NoSpacing"/>
        <w:shd w:val="clear" w:color="auto" w:fill="FFFFFF" w:themeFill="background1"/>
        <w:spacing w:line="276" w:lineRule="auto"/>
        <w:jc w:val="both"/>
        <w:rPr>
          <w:rFonts w:ascii="Arial" w:hAnsi="Arial" w:cs="Arial"/>
          <w:sz w:val="22"/>
        </w:rPr>
      </w:pP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spacing w:line="276" w:lineRule="auto"/>
        <w:jc w:val="both"/>
        <w:rPr>
          <w:rFonts w:ascii="Arial" w:hAnsi="Arial" w:cs="Arial"/>
          <w:b/>
          <w:sz w:val="26"/>
          <w:szCs w:val="20"/>
        </w:rPr>
      </w:pPr>
    </w:p>
    <w:p>
      <w:pPr>
        <w:pStyle w:val="Heading1"/>
        <w:spacing w:line="276" w:lineRule="auto"/>
        <w:rPr>
          <w:rFonts w:ascii="Arial" w:hAnsi="Arial" w:cs="Arial"/>
        </w:rPr>
      </w:pPr>
    </w:p>
    <w:p>
      <w:pPr>
        <w:pStyle w:val="Heading2"/>
        <w:spacing w:line="276" w:lineRule="auto"/>
        <w:rPr>
          <w:rFonts w:ascii="Arial" w:hAnsi="Arial" w:cs="Arial"/>
          <w:lang w:val="en-GB"/>
        </w:rPr>
      </w:pPr>
      <w:r>
        <w:rPr>
          <w:rFonts w:ascii="Arial" w:hAnsi="Arial" w:cs="Arial"/>
          <w:lang w:val="en-GB"/>
        </w:rPr>
        <w:t>1</w:t>
      </w:r>
      <w:r>
        <w:rPr>
          <w:rFonts w:ascii="Arial" w:hAnsi="Arial" w:cs="Arial"/>
          <w:lang w:val="en-GB"/>
        </w:rPr>
        <w:tab/>
        <w:t>PURPOSE</w:t>
      </w:r>
    </w:p>
    <w:p>
      <w:pPr>
        <w:spacing w:before="120" w:line="276" w:lineRule="auto"/>
        <w:jc w:val="both"/>
        <w:rPr>
          <w:rFonts w:ascii="Arial" w:hAnsi="Arial" w:cs="Arial"/>
          <w:lang w:val="en-GB"/>
        </w:rPr>
      </w:pPr>
      <w:r>
        <w:rPr>
          <w:rFonts w:ascii="Arial" w:hAnsi="Arial" w:cs="Arial"/>
          <w:lang w:val="en-GB"/>
        </w:rPr>
        <w:t xml:space="preserve">The purpose of this policy is to establish procedures and guidelines for employees who wish to take leave to engage in an eligible community service activity. </w:t>
      </w:r>
    </w:p>
    <w:p>
      <w:pPr>
        <w:pStyle w:val="Heading2"/>
        <w:spacing w:line="276" w:lineRule="auto"/>
        <w:rPr>
          <w:rFonts w:ascii="Arial" w:hAnsi="Arial" w:cs="Arial"/>
          <w:lang w:val="en-GB"/>
        </w:rPr>
      </w:pPr>
      <w:r>
        <w:rPr>
          <w:rFonts w:ascii="Arial" w:hAnsi="Arial" w:cs="Arial"/>
          <w:lang w:val="en-GB"/>
        </w:rPr>
        <w:t>2</w:t>
      </w:r>
      <w:r>
        <w:rPr>
          <w:rFonts w:ascii="Arial" w:hAnsi="Arial" w:cs="Arial"/>
          <w:lang w:val="en-GB"/>
        </w:rPr>
        <w:tab/>
        <w:t>APPLICATION</w:t>
      </w:r>
    </w:p>
    <w:p>
      <w:pPr>
        <w:spacing w:before="120" w:line="276" w:lineRule="auto"/>
        <w:jc w:val="both"/>
        <w:rPr>
          <w:rFonts w:ascii="Arial" w:hAnsi="Arial" w:cs="Arial"/>
          <w:b/>
          <w:bCs/>
          <w:lang w:val="en-GB"/>
        </w:rPr>
      </w:pPr>
      <w:r>
        <w:rPr>
          <w:rFonts w:ascii="Arial" w:hAnsi="Arial" w:cs="Arial"/>
          <w:lang w:val="en-GB"/>
        </w:rPr>
        <w:t xml:space="preserve">This policy applies to all employees of </w:t>
      </w:r>
      <w:r>
        <w:rPr>
          <w:rFonts w:ascii="Arial" w:hAnsi="Arial" w:cs="Arial"/>
          <w:b/>
        </w:rPr>
        <w:t>[INSERT COMPANY NAME]</w:t>
      </w:r>
      <w:r>
        <w:rPr>
          <w:rFonts w:ascii="Arial" w:hAnsi="Arial" w:cs="Arial"/>
          <w:lang w:val="en-GB"/>
        </w:rPr>
        <w:t xml:space="preserve">. </w:t>
      </w:r>
    </w:p>
    <w:p>
      <w:pPr>
        <w:spacing w:before="120" w:line="276" w:lineRule="auto"/>
        <w:jc w:val="both"/>
        <w:rPr>
          <w:rFonts w:ascii="Arial" w:hAnsi="Arial" w:cs="Arial"/>
          <w:lang w:val="en-GB"/>
        </w:rPr>
      </w:pPr>
      <w:r>
        <w:rPr>
          <w:rFonts w:ascii="Arial" w:hAnsi="Arial" w:cs="Arial"/>
          <w:lang w:val="en-GB"/>
        </w:rPr>
        <w:t xml:space="preserve">The policy is not intended to override the terms of any award, enterprise agreement or contract that applies to an employee. </w:t>
      </w:r>
    </w:p>
    <w:p>
      <w:pPr>
        <w:pStyle w:val="Heading2"/>
        <w:spacing w:line="276" w:lineRule="auto"/>
        <w:rPr>
          <w:rFonts w:ascii="Arial" w:hAnsi="Arial" w:cs="Arial"/>
          <w:lang w:val="en-GB"/>
        </w:rPr>
      </w:pPr>
      <w:r>
        <w:rPr>
          <w:rFonts w:ascii="Arial" w:hAnsi="Arial" w:cs="Arial"/>
          <w:lang w:val="en-GB"/>
        </w:rPr>
        <w:t>3</w:t>
      </w:r>
      <w:r>
        <w:rPr>
          <w:rFonts w:ascii="Arial" w:hAnsi="Arial" w:cs="Arial"/>
          <w:lang w:val="en-GB"/>
        </w:rPr>
        <w:tab/>
        <w:t>DEFINITIONS</w:t>
      </w:r>
    </w:p>
    <w:p>
      <w:pPr>
        <w:spacing w:before="120" w:line="276" w:lineRule="auto"/>
        <w:jc w:val="both"/>
        <w:rPr>
          <w:rFonts w:ascii="Arial" w:hAnsi="Arial" w:cs="Arial"/>
          <w:lang w:val="en-GB"/>
        </w:rPr>
      </w:pPr>
      <w:r>
        <w:rPr>
          <w:rFonts w:ascii="Arial" w:hAnsi="Arial" w:cs="Arial"/>
          <w:lang w:val="en-GB"/>
        </w:rPr>
        <w:t xml:space="preserve">An “eligible community service activity” is defined in the </w:t>
      </w:r>
      <w:r>
        <w:rPr>
          <w:rFonts w:ascii="Arial" w:hAnsi="Arial" w:cs="Arial"/>
          <w:i/>
          <w:lang w:val="en-GB"/>
        </w:rPr>
        <w:t xml:space="preserve">Fair Work Act 2009 </w:t>
      </w:r>
      <w:r>
        <w:rPr>
          <w:rFonts w:ascii="Arial" w:hAnsi="Arial" w:cs="Arial"/>
          <w:lang w:val="en-GB"/>
        </w:rPr>
        <w:t>(</w:t>
      </w:r>
      <w:proofErr w:type="spellStart"/>
      <w:r>
        <w:rPr>
          <w:rFonts w:ascii="Arial" w:hAnsi="Arial" w:cs="Arial"/>
          <w:lang w:val="en-GB"/>
        </w:rPr>
        <w:t>Cth</w:t>
      </w:r>
      <w:proofErr w:type="spellEnd"/>
      <w:r>
        <w:rPr>
          <w:rFonts w:ascii="Arial" w:hAnsi="Arial" w:cs="Arial"/>
          <w:lang w:val="en-GB"/>
        </w:rPr>
        <w:t>) to include:</w:t>
      </w:r>
    </w:p>
    <w:p>
      <w:pPr>
        <w:pStyle w:val="ListParagraph"/>
        <w:numPr>
          <w:ilvl w:val="0"/>
          <w:numId w:val="18"/>
        </w:numPr>
        <w:suppressAutoHyphens w:val="0"/>
        <w:spacing w:before="120" w:line="276" w:lineRule="auto"/>
        <w:jc w:val="both"/>
        <w:rPr>
          <w:rFonts w:ascii="Arial" w:hAnsi="Arial" w:cs="Arial"/>
          <w:lang w:val="en-GB"/>
        </w:rPr>
      </w:pPr>
      <w:r>
        <w:rPr>
          <w:rFonts w:ascii="Arial" w:hAnsi="Arial" w:cs="Arial"/>
          <w:lang w:val="en-GB"/>
        </w:rPr>
        <w:t>voluntary emergency management activities; and</w:t>
      </w:r>
    </w:p>
    <w:p>
      <w:pPr>
        <w:pStyle w:val="ListParagraph"/>
        <w:numPr>
          <w:ilvl w:val="0"/>
          <w:numId w:val="18"/>
        </w:numPr>
        <w:suppressAutoHyphens w:val="0"/>
        <w:spacing w:before="120" w:line="276" w:lineRule="auto"/>
        <w:jc w:val="both"/>
        <w:rPr>
          <w:rFonts w:ascii="Arial" w:hAnsi="Arial" w:cs="Arial"/>
          <w:lang w:val="en-GB"/>
        </w:rPr>
      </w:pPr>
      <w:proofErr w:type="gramStart"/>
      <w:r>
        <w:rPr>
          <w:rFonts w:ascii="Arial" w:hAnsi="Arial" w:cs="Arial"/>
          <w:lang w:val="en-GB"/>
        </w:rPr>
        <w:t>jury</w:t>
      </w:r>
      <w:proofErr w:type="gramEnd"/>
      <w:r>
        <w:rPr>
          <w:rFonts w:ascii="Arial" w:hAnsi="Arial" w:cs="Arial"/>
          <w:lang w:val="en-GB"/>
        </w:rPr>
        <w:t xml:space="preserve"> duty (including attendance for jury selection). </w:t>
      </w:r>
    </w:p>
    <w:p>
      <w:pPr>
        <w:spacing w:before="120" w:line="276" w:lineRule="auto"/>
        <w:jc w:val="both"/>
        <w:rPr>
          <w:rFonts w:ascii="Arial" w:hAnsi="Arial" w:cs="Arial"/>
          <w:lang w:val="en-GB"/>
        </w:rPr>
      </w:pPr>
      <w:r>
        <w:rPr>
          <w:rFonts w:ascii="Arial" w:hAnsi="Arial" w:cs="Arial"/>
          <w:lang w:val="en-GB"/>
        </w:rPr>
        <w:t>Employees engage in “voluntary emergency management” if they:</w:t>
      </w:r>
    </w:p>
    <w:p>
      <w:pPr>
        <w:pStyle w:val="ListParagraph"/>
        <w:numPr>
          <w:ilvl w:val="0"/>
          <w:numId w:val="17"/>
        </w:numPr>
        <w:suppressAutoHyphens w:val="0"/>
        <w:spacing w:before="120" w:line="276" w:lineRule="auto"/>
        <w:jc w:val="both"/>
        <w:rPr>
          <w:rFonts w:ascii="Arial" w:hAnsi="Arial" w:cs="Arial"/>
          <w:lang w:val="en-GB"/>
        </w:rPr>
      </w:pPr>
      <w:r>
        <w:rPr>
          <w:rFonts w:ascii="Arial" w:hAnsi="Arial" w:cs="Arial"/>
          <w:lang w:val="en-GB"/>
        </w:rPr>
        <w:t>engage in an activity that involves dealing with an emergency or natural disaster; and</w:t>
      </w:r>
    </w:p>
    <w:p>
      <w:pPr>
        <w:pStyle w:val="ListParagraph"/>
        <w:numPr>
          <w:ilvl w:val="0"/>
          <w:numId w:val="17"/>
        </w:numPr>
        <w:suppressAutoHyphens w:val="0"/>
        <w:spacing w:before="120" w:line="276" w:lineRule="auto"/>
        <w:jc w:val="both"/>
        <w:rPr>
          <w:rFonts w:ascii="Arial" w:hAnsi="Arial" w:cs="Arial"/>
          <w:lang w:val="en-GB"/>
        </w:rPr>
      </w:pPr>
      <w:r>
        <w:rPr>
          <w:rFonts w:ascii="Arial" w:hAnsi="Arial" w:cs="Arial"/>
          <w:lang w:val="en-GB"/>
        </w:rPr>
        <w:t>the employee engages in the activity on a voluntary basis; and</w:t>
      </w:r>
    </w:p>
    <w:p>
      <w:pPr>
        <w:pStyle w:val="ListParagraph"/>
        <w:numPr>
          <w:ilvl w:val="0"/>
          <w:numId w:val="17"/>
        </w:numPr>
        <w:suppressAutoHyphens w:val="0"/>
        <w:spacing w:before="120" w:line="276" w:lineRule="auto"/>
        <w:jc w:val="both"/>
        <w:rPr>
          <w:rFonts w:ascii="Arial" w:hAnsi="Arial" w:cs="Arial"/>
          <w:lang w:val="en-GB"/>
        </w:rPr>
      </w:pPr>
      <w:r>
        <w:rPr>
          <w:rFonts w:ascii="Arial" w:hAnsi="Arial" w:cs="Arial"/>
          <w:lang w:val="en-GB"/>
        </w:rPr>
        <w:t>the employee was requested to engage in an activity (or it would be reasonable to expect that such a request would have been made if the circumstances had permitted); and</w:t>
      </w:r>
    </w:p>
    <w:p>
      <w:pPr>
        <w:pStyle w:val="ListParagraph"/>
        <w:numPr>
          <w:ilvl w:val="0"/>
          <w:numId w:val="17"/>
        </w:numPr>
        <w:suppressAutoHyphens w:val="0"/>
        <w:spacing w:before="120" w:line="276" w:lineRule="auto"/>
        <w:jc w:val="both"/>
        <w:rPr>
          <w:rFonts w:ascii="Arial" w:hAnsi="Arial" w:cs="Arial"/>
          <w:lang w:val="en-GB"/>
        </w:rPr>
      </w:pPr>
      <w:proofErr w:type="gramStart"/>
      <w:r>
        <w:rPr>
          <w:rFonts w:ascii="Arial" w:hAnsi="Arial" w:cs="Arial"/>
          <w:lang w:val="en-GB"/>
        </w:rPr>
        <w:t>the</w:t>
      </w:r>
      <w:proofErr w:type="gramEnd"/>
      <w:r>
        <w:rPr>
          <w:rFonts w:ascii="Arial" w:hAnsi="Arial" w:cs="Arial"/>
          <w:lang w:val="en-GB"/>
        </w:rPr>
        <w:t xml:space="preserve"> employee is a member of a recognised emergency management body (or has member-like association with that body).  </w:t>
      </w:r>
    </w:p>
    <w:p>
      <w:pPr>
        <w:pStyle w:val="Heading2"/>
        <w:spacing w:line="276" w:lineRule="auto"/>
        <w:rPr>
          <w:rFonts w:ascii="Arial" w:hAnsi="Arial" w:cs="Arial"/>
          <w:lang w:val="en-GB"/>
        </w:rPr>
      </w:pPr>
      <w:r>
        <w:rPr>
          <w:rFonts w:ascii="Arial" w:hAnsi="Arial" w:cs="Arial"/>
          <w:lang w:val="en-GB"/>
        </w:rPr>
        <w:t>4</w:t>
      </w:r>
      <w:r>
        <w:rPr>
          <w:rFonts w:ascii="Arial" w:hAnsi="Arial" w:cs="Arial"/>
          <w:lang w:val="en-GB"/>
        </w:rPr>
        <w:tab/>
        <w:t>POLICY – JURY DUTY</w:t>
      </w:r>
    </w:p>
    <w:p>
      <w:pPr>
        <w:spacing w:before="120" w:line="276" w:lineRule="auto"/>
        <w:jc w:val="both"/>
        <w:rPr>
          <w:rFonts w:ascii="Arial" w:hAnsi="Arial" w:cs="Arial"/>
          <w:lang w:val="en-GB"/>
        </w:rPr>
      </w:pPr>
      <w:r>
        <w:rPr>
          <w:rFonts w:ascii="Arial" w:hAnsi="Arial" w:cs="Arial"/>
          <w:lang w:val="en-GB"/>
        </w:rPr>
        <w:t xml:space="preserve">All employees, including casual employees, will be granted leave to serve as jurors in a court of law for the period of attendance required.  Leave will also be granted to attend jury selection.  </w:t>
      </w:r>
    </w:p>
    <w:p>
      <w:pPr>
        <w:spacing w:before="120" w:line="276" w:lineRule="auto"/>
        <w:jc w:val="both"/>
        <w:rPr>
          <w:rFonts w:ascii="Arial" w:hAnsi="Arial" w:cs="Arial"/>
          <w:b/>
        </w:rPr>
      </w:pPr>
      <w:r>
        <w:rPr>
          <w:rFonts w:ascii="Arial" w:hAnsi="Arial" w:cs="Arial"/>
          <w:lang w:val="en-GB"/>
        </w:rPr>
        <w:t xml:space="preserve">Employees must advise </w:t>
      </w:r>
      <w:r>
        <w:rPr>
          <w:rFonts w:ascii="Arial" w:hAnsi="Arial" w:cs="Arial"/>
          <w:b/>
        </w:rPr>
        <w:t xml:space="preserve">[INSERT COMPANY NAME] </w:t>
      </w:r>
      <w:r>
        <w:rPr>
          <w:rFonts w:ascii="Arial" w:hAnsi="Arial" w:cs="Arial"/>
        </w:rPr>
        <w:t xml:space="preserve">of the period of expected leave as soon as possible. </w:t>
      </w:r>
      <w:r>
        <w:rPr>
          <w:rFonts w:ascii="Arial" w:hAnsi="Arial" w:cs="Arial"/>
          <w:b/>
        </w:rPr>
        <w:t xml:space="preserve">[INSERT COMPANY NAME] </w:t>
      </w:r>
      <w:r>
        <w:rPr>
          <w:rFonts w:ascii="Arial" w:hAnsi="Arial" w:cs="Arial"/>
        </w:rPr>
        <w:t xml:space="preserve">may request evidence of jury attendance.  </w:t>
      </w:r>
      <w:r>
        <w:rPr>
          <w:rFonts w:ascii="Arial" w:hAnsi="Arial" w:cs="Arial"/>
          <w:b/>
        </w:rPr>
        <w:t xml:space="preserve"> </w:t>
      </w:r>
    </w:p>
    <w:p>
      <w:pPr>
        <w:pStyle w:val="Heading3"/>
        <w:spacing w:line="276" w:lineRule="auto"/>
        <w:rPr>
          <w:rFonts w:ascii="Arial" w:hAnsi="Arial" w:cs="Arial"/>
        </w:rPr>
      </w:pPr>
      <w:r>
        <w:rPr>
          <w:rFonts w:ascii="Arial" w:hAnsi="Arial" w:cs="Arial"/>
        </w:rPr>
        <w:t>All employees (other than casual employees)</w:t>
      </w:r>
    </w:p>
    <w:p>
      <w:pPr>
        <w:spacing w:before="120" w:line="276" w:lineRule="auto"/>
        <w:jc w:val="both"/>
        <w:rPr>
          <w:rFonts w:ascii="Arial" w:hAnsi="Arial" w:cs="Arial"/>
          <w:lang w:val="en-GB"/>
        </w:rPr>
      </w:pPr>
      <w:r>
        <w:rPr>
          <w:rFonts w:ascii="Arial" w:hAnsi="Arial" w:cs="Arial"/>
          <w:lang w:val="en-GB"/>
        </w:rPr>
        <w:t xml:space="preserve">Employees on jury duty in Victoria will be paid the difference between the jury duty fee (paid by the court) and the employee’s base rate of pay for ordinary hours of work during that period. This is known as make-up pay. </w:t>
      </w:r>
    </w:p>
    <w:p>
      <w:pPr>
        <w:pStyle w:val="Heading3"/>
        <w:spacing w:line="276" w:lineRule="auto"/>
        <w:rPr>
          <w:rFonts w:ascii="Arial" w:hAnsi="Arial" w:cs="Arial"/>
        </w:rPr>
      </w:pPr>
      <w:r>
        <w:rPr>
          <w:rFonts w:ascii="Arial" w:hAnsi="Arial" w:cs="Arial"/>
        </w:rPr>
        <w:t>Casual employees</w:t>
      </w:r>
    </w:p>
    <w:p>
      <w:pPr>
        <w:spacing w:before="120" w:line="276" w:lineRule="auto"/>
        <w:jc w:val="both"/>
        <w:rPr>
          <w:rFonts w:ascii="Arial" w:hAnsi="Arial" w:cs="Arial"/>
          <w:lang w:val="en-GB"/>
        </w:rPr>
      </w:pPr>
      <w:r>
        <w:rPr>
          <w:rFonts w:ascii="Arial" w:hAnsi="Arial" w:cs="Arial"/>
        </w:rPr>
        <w:t xml:space="preserve">Casual employees will be granted leave without pay to serve as jurors for the period of attendance required. </w:t>
      </w:r>
    </w:p>
    <w:p>
      <w:pPr>
        <w:pStyle w:val="Heading2"/>
        <w:spacing w:line="276" w:lineRule="auto"/>
        <w:rPr>
          <w:rFonts w:ascii="Arial" w:hAnsi="Arial" w:cs="Arial"/>
          <w:lang w:val="en-GB"/>
        </w:rPr>
      </w:pPr>
      <w:r>
        <w:rPr>
          <w:rFonts w:ascii="Arial" w:hAnsi="Arial" w:cs="Arial"/>
          <w:lang w:val="en-GB"/>
        </w:rPr>
        <w:lastRenderedPageBreak/>
        <w:t>5</w:t>
      </w:r>
      <w:r>
        <w:rPr>
          <w:rFonts w:ascii="Arial" w:hAnsi="Arial" w:cs="Arial"/>
          <w:lang w:val="en-GB"/>
        </w:rPr>
        <w:tab/>
        <w:t>POLICY – VOLUNTARY EMERGENCY MANAGEMENT ACTIVITY</w:t>
      </w:r>
    </w:p>
    <w:p>
      <w:pPr>
        <w:spacing w:before="120" w:line="276" w:lineRule="auto"/>
        <w:jc w:val="both"/>
        <w:rPr>
          <w:rFonts w:ascii="Arial" w:hAnsi="Arial" w:cs="Arial"/>
          <w:lang w:val="en-GB"/>
        </w:rPr>
      </w:pPr>
      <w:r>
        <w:rPr>
          <w:rFonts w:ascii="Arial" w:hAnsi="Arial" w:cs="Arial"/>
          <w:lang w:val="en-GB"/>
        </w:rPr>
        <w:t>An employee who is a member of a volunteer disaster management, emergency, search and rescue, firefighting or similar organisation can take leave if called upon to assist during an emergency. Organisations approved for this purpose include:</w:t>
      </w:r>
    </w:p>
    <w:p>
      <w:pPr>
        <w:pStyle w:val="ListParagraph"/>
        <w:numPr>
          <w:ilvl w:val="0"/>
          <w:numId w:val="16"/>
        </w:numPr>
        <w:suppressAutoHyphens w:val="0"/>
        <w:spacing w:before="120" w:line="276" w:lineRule="auto"/>
        <w:jc w:val="both"/>
        <w:rPr>
          <w:rFonts w:ascii="Arial" w:hAnsi="Arial" w:cs="Arial"/>
          <w:lang w:val="en-GB"/>
        </w:rPr>
      </w:pPr>
      <w:r>
        <w:rPr>
          <w:rFonts w:ascii="Arial" w:hAnsi="Arial" w:cs="Arial"/>
          <w:lang w:val="en-GB"/>
        </w:rPr>
        <w:t>State Emergency Service (SES)</w:t>
      </w:r>
    </w:p>
    <w:p>
      <w:pPr>
        <w:pStyle w:val="ListParagraph"/>
        <w:numPr>
          <w:ilvl w:val="0"/>
          <w:numId w:val="16"/>
        </w:numPr>
        <w:suppressAutoHyphens w:val="0"/>
        <w:spacing w:before="120" w:line="276" w:lineRule="auto"/>
        <w:jc w:val="both"/>
        <w:rPr>
          <w:rFonts w:ascii="Arial" w:hAnsi="Arial" w:cs="Arial"/>
          <w:lang w:val="en-GB"/>
        </w:rPr>
      </w:pPr>
      <w:r>
        <w:rPr>
          <w:rFonts w:ascii="Arial" w:hAnsi="Arial" w:cs="Arial"/>
          <w:lang w:val="en-GB"/>
        </w:rPr>
        <w:t>Country Fire Authority (CFA)</w:t>
      </w:r>
    </w:p>
    <w:p>
      <w:pPr>
        <w:pStyle w:val="ListParagraph"/>
        <w:numPr>
          <w:ilvl w:val="0"/>
          <w:numId w:val="16"/>
        </w:numPr>
        <w:suppressAutoHyphens w:val="0"/>
        <w:spacing w:before="120" w:line="276" w:lineRule="auto"/>
        <w:jc w:val="both"/>
        <w:rPr>
          <w:rFonts w:ascii="Arial" w:hAnsi="Arial" w:cs="Arial"/>
          <w:lang w:val="en-GB"/>
        </w:rPr>
      </w:pPr>
      <w:r>
        <w:rPr>
          <w:rFonts w:ascii="Arial" w:hAnsi="Arial" w:cs="Arial"/>
          <w:lang w:val="en-GB"/>
        </w:rPr>
        <w:t>Red Cross</w:t>
      </w:r>
    </w:p>
    <w:p>
      <w:pPr>
        <w:pStyle w:val="ListParagraph"/>
        <w:numPr>
          <w:ilvl w:val="0"/>
          <w:numId w:val="16"/>
        </w:numPr>
        <w:suppressAutoHyphens w:val="0"/>
        <w:spacing w:before="120" w:line="276" w:lineRule="auto"/>
        <w:jc w:val="both"/>
        <w:rPr>
          <w:rFonts w:ascii="Arial" w:hAnsi="Arial" w:cs="Arial"/>
          <w:lang w:val="en-GB"/>
        </w:rPr>
      </w:pPr>
      <w:r>
        <w:rPr>
          <w:rFonts w:ascii="Arial" w:hAnsi="Arial" w:cs="Arial"/>
          <w:lang w:val="en-GB"/>
        </w:rPr>
        <w:t>St John Ambulance; and</w:t>
      </w:r>
    </w:p>
    <w:p>
      <w:pPr>
        <w:pStyle w:val="ListParagraph"/>
        <w:numPr>
          <w:ilvl w:val="0"/>
          <w:numId w:val="16"/>
        </w:numPr>
        <w:suppressAutoHyphens w:val="0"/>
        <w:spacing w:before="120" w:line="276" w:lineRule="auto"/>
        <w:jc w:val="both"/>
        <w:rPr>
          <w:rFonts w:ascii="Arial" w:hAnsi="Arial" w:cs="Arial"/>
          <w:lang w:val="en-GB"/>
        </w:rPr>
      </w:pPr>
      <w:proofErr w:type="gramStart"/>
      <w:r>
        <w:rPr>
          <w:rFonts w:ascii="Arial" w:hAnsi="Arial" w:cs="Arial"/>
          <w:lang w:val="en-GB"/>
        </w:rPr>
        <w:t>the</w:t>
      </w:r>
      <w:proofErr w:type="gramEnd"/>
      <w:r>
        <w:rPr>
          <w:rFonts w:ascii="Arial" w:hAnsi="Arial" w:cs="Arial"/>
          <w:lang w:val="en-GB"/>
        </w:rPr>
        <w:t xml:space="preserve"> RSPCA (in respect of animal rescue during emergencies or natural disasters).</w:t>
      </w:r>
    </w:p>
    <w:p>
      <w:pPr>
        <w:spacing w:line="276" w:lineRule="auto"/>
        <w:rPr>
          <w:rFonts w:ascii="Arial" w:hAnsi="Arial" w:cs="Arial"/>
          <w:lang w:val="en-GB"/>
        </w:rPr>
      </w:pPr>
      <w:r>
        <w:rPr>
          <w:rFonts w:ascii="Arial" w:hAnsi="Arial" w:cs="Arial"/>
          <w:lang w:val="en-GB"/>
        </w:rPr>
        <w:t>An employee is entitled to take leave while they are engaged in the activity and for reasonable travel and rest time. There is no limit on the amount of community service leave an employee can take.</w:t>
      </w:r>
    </w:p>
    <w:p>
      <w:pPr>
        <w:spacing w:line="276" w:lineRule="auto"/>
        <w:rPr>
          <w:rFonts w:ascii="Arial" w:hAnsi="Arial" w:cs="Arial"/>
        </w:rPr>
      </w:pPr>
      <w:r>
        <w:rPr>
          <w:rFonts w:ascii="Arial" w:hAnsi="Arial" w:cs="Arial"/>
          <w:lang w:val="en-GB"/>
        </w:rPr>
        <w:t xml:space="preserve">Employees must advise </w:t>
      </w:r>
      <w:r>
        <w:rPr>
          <w:rFonts w:ascii="Arial" w:hAnsi="Arial" w:cs="Arial"/>
          <w:b/>
        </w:rPr>
        <w:t xml:space="preserve">[INSERT COMPANY NAME] </w:t>
      </w:r>
      <w:r>
        <w:rPr>
          <w:rFonts w:ascii="Arial" w:hAnsi="Arial" w:cs="Arial"/>
        </w:rPr>
        <w:t xml:space="preserve">of the period of expected leave as soon as possible. The business may request evidence that an employee is entitled to leave. </w:t>
      </w:r>
    </w:p>
    <w:p>
      <w:pPr>
        <w:spacing w:line="276" w:lineRule="auto"/>
        <w:rPr>
          <w:rFonts w:ascii="Arial" w:hAnsi="Arial" w:cs="Arial"/>
          <w:lang w:val="en-GB"/>
        </w:rPr>
      </w:pPr>
      <w:r>
        <w:rPr>
          <w:rFonts w:ascii="Arial" w:hAnsi="Arial" w:cs="Arial"/>
        </w:rPr>
        <w:t xml:space="preserve">Employees will be granted leave without pay to serve in a voluntary emergency management activity for the period of attendance required. </w:t>
      </w:r>
    </w:p>
    <w:p>
      <w:pPr>
        <w:pStyle w:val="Heading2"/>
        <w:spacing w:line="276" w:lineRule="auto"/>
        <w:rPr>
          <w:rFonts w:ascii="Arial" w:hAnsi="Arial" w:cs="Arial"/>
          <w:lang w:val="en-GB"/>
        </w:rPr>
      </w:pPr>
      <w:r>
        <w:rPr>
          <w:rFonts w:ascii="Arial" w:hAnsi="Arial" w:cs="Arial"/>
          <w:lang w:val="en-GB"/>
        </w:rPr>
        <w:t>6</w:t>
      </w:r>
      <w:r>
        <w:rPr>
          <w:rFonts w:ascii="Arial" w:hAnsi="Arial" w:cs="Arial"/>
          <w:lang w:val="en-GB"/>
        </w:rPr>
        <w:tab/>
        <w:t>POLICY REVIEW</w:t>
      </w:r>
    </w:p>
    <w:p>
      <w:pPr>
        <w:spacing w:line="276" w:lineRule="auto"/>
        <w:rPr>
          <w:rFonts w:ascii="Arial" w:hAnsi="Arial" w:cs="Arial"/>
          <w:bCs/>
          <w:lang w:val="en-GB"/>
        </w:rPr>
      </w:pPr>
      <w:r>
        <w:rPr>
          <w:rFonts w:ascii="Arial" w:hAnsi="Arial" w:cs="Arial"/>
          <w:b/>
        </w:rPr>
        <w:t>[INSERT COMPANY NAME]</w:t>
      </w:r>
      <w:r>
        <w:rPr>
          <w:rFonts w:ascii="Arial" w:hAnsi="Arial" w:cs="Arial"/>
          <w:b/>
          <w:bCs/>
        </w:rPr>
        <w:t xml:space="preserve"> </w:t>
      </w:r>
      <w:r>
        <w:rPr>
          <w:rFonts w:ascii="Arial" w:hAnsi="Arial" w:cs="Arial"/>
          <w:bCs/>
          <w:lang w:val="en-GB"/>
        </w:rPr>
        <w:t xml:space="preserve">may make changes to this policy from time to time to improve the effectiveness of its operation. </w:t>
      </w:r>
    </w:p>
    <w:p>
      <w:pPr>
        <w:pStyle w:val="Heading1"/>
        <w:spacing w:line="276" w:lineRule="auto"/>
        <w:rPr>
          <w:rFonts w:ascii="Arial" w:hAnsi="Arial" w:cs="Arial"/>
        </w:rPr>
      </w:pPr>
    </w:p>
    <w:p>
      <w:pPr>
        <w:pStyle w:val="Heading1"/>
        <w:spacing w:line="276" w:lineRule="auto"/>
        <w:rPr>
          <w:rFonts w:ascii="Arial" w:hAnsi="Arial" w:cs="Arial"/>
        </w:rPr>
      </w:pPr>
    </w:p>
    <w:p>
      <w:pPr>
        <w:pStyle w:val="Heading1"/>
        <w:spacing w:line="276" w:lineRule="auto"/>
        <w:rPr>
          <w:rFonts w:ascii="Arial" w:hAnsi="Arial" w:cs="Arial"/>
        </w:rPr>
      </w:pPr>
    </w:p>
    <w:p>
      <w:pPr>
        <w:pStyle w:val="BodyText"/>
        <w:spacing w:line="276" w:lineRule="auto"/>
        <w:rPr>
          <w:rFonts w:ascii="Arial" w:hAnsi="Arial" w:cs="Arial"/>
        </w:rPr>
      </w:pPr>
      <w:r>
        <w:rPr>
          <w:rFonts w:ascii="Arial" w:eastAsiaTheme="majorEastAsia" w:hAnsi="Arial" w:cs="Arial"/>
          <w:color w:val="005EB8" w:themeColor="accent2"/>
          <w:sz w:val="24"/>
          <w:szCs w:val="26"/>
        </w:rPr>
        <w:t>WORKPLACE PARTICIPANT ACKNOWLEDGEMENT</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line="276" w:lineRule="auto"/>
        <w:rPr>
          <w:rFonts w:ascii="Arial" w:hAnsi="Arial" w:cs="Arial"/>
          <w:u w:val="single"/>
        </w:rPr>
      </w:pPr>
      <w:r>
        <w:rPr>
          <w:rFonts w:ascii="Arial" w:hAnsi="Arial" w:cs="Arial"/>
        </w:rPr>
        <w:t>Date:</w:t>
      </w:r>
      <w:r>
        <w:rPr>
          <w:rFonts w:ascii="Arial" w:hAnsi="Arial" w:cs="Arial"/>
        </w:rPr>
        <w:tab/>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Community Service Leave</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00158F94" wp14:editId="5631BE49">
          <wp:simplePos x="0" y="0"/>
          <wp:positionH relativeFrom="column">
            <wp:posOffset>-241295</wp:posOffset>
          </wp:positionH>
          <wp:positionV relativeFrom="paragraph">
            <wp:posOffset>190500</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039E"/>
    <w:multiLevelType w:val="hybridMultilevel"/>
    <w:tmpl w:val="C44661C0"/>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A96A07"/>
    <w:multiLevelType w:val="hybridMultilevel"/>
    <w:tmpl w:val="D46A7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23D62D9"/>
    <w:multiLevelType w:val="hybridMultilevel"/>
    <w:tmpl w:val="C0BA4C86"/>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AA57C6"/>
    <w:multiLevelType w:val="hybridMultilevel"/>
    <w:tmpl w:val="2B28073A"/>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674986"/>
    <w:multiLevelType w:val="hybridMultilevel"/>
    <w:tmpl w:val="AD729626"/>
    <w:lvl w:ilvl="0" w:tplc="BE0EC8A6">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1" w15:restartNumberingAfterBreak="0">
    <w:nsid w:val="4404072D"/>
    <w:multiLevelType w:val="hybridMultilevel"/>
    <w:tmpl w:val="E92A8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9"/>
  </w:num>
  <w:num w:numId="3">
    <w:abstractNumId w:val="13"/>
  </w:num>
  <w:num w:numId="4">
    <w:abstractNumId w:val="1"/>
  </w:num>
  <w:num w:numId="5">
    <w:abstractNumId w:val="3"/>
  </w:num>
  <w:num w:numId="6">
    <w:abstractNumId w:val="5"/>
  </w:num>
  <w:num w:numId="7">
    <w:abstractNumId w:val="8"/>
  </w:num>
  <w:num w:numId="8">
    <w:abstractNumId w:val="16"/>
  </w:num>
  <w:num w:numId="9">
    <w:abstractNumId w:val="15"/>
  </w:num>
  <w:num w:numId="10">
    <w:abstractNumId w:val="7"/>
  </w:num>
  <w:num w:numId="11">
    <w:abstractNumId w:val="12"/>
  </w:num>
  <w:num w:numId="12">
    <w:abstractNumId w:val="17"/>
  </w:num>
  <w:num w:numId="13">
    <w:abstractNumId w:val="11"/>
  </w:num>
  <w:num w:numId="14">
    <w:abstractNumId w:val="2"/>
  </w:num>
  <w:num w:numId="15">
    <w:abstractNumId w:val="0"/>
  </w:num>
  <w:num w:numId="16">
    <w:abstractNumId w:val="10"/>
  </w:num>
  <w:num w:numId="17">
    <w:abstractNumId w:val="4"/>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38"/>
    <w:rsid w:val="00003826"/>
    <w:rsid w:val="000135F5"/>
    <w:rsid w:val="000669ED"/>
    <w:rsid w:val="00080BA6"/>
    <w:rsid w:val="00084220"/>
    <w:rsid w:val="000A62DE"/>
    <w:rsid w:val="000B191E"/>
    <w:rsid w:val="000C6A20"/>
    <w:rsid w:val="000F6538"/>
    <w:rsid w:val="001905B2"/>
    <w:rsid w:val="00191FC7"/>
    <w:rsid w:val="001E4D71"/>
    <w:rsid w:val="001E72B8"/>
    <w:rsid w:val="002633C4"/>
    <w:rsid w:val="00284337"/>
    <w:rsid w:val="00287732"/>
    <w:rsid w:val="002D32DE"/>
    <w:rsid w:val="002D72F9"/>
    <w:rsid w:val="003104BA"/>
    <w:rsid w:val="003251D1"/>
    <w:rsid w:val="0033442A"/>
    <w:rsid w:val="00334FBD"/>
    <w:rsid w:val="00357CE5"/>
    <w:rsid w:val="00375E41"/>
    <w:rsid w:val="003A7EA8"/>
    <w:rsid w:val="003C0902"/>
    <w:rsid w:val="00406C7E"/>
    <w:rsid w:val="0041340C"/>
    <w:rsid w:val="00436A8F"/>
    <w:rsid w:val="0052159D"/>
    <w:rsid w:val="00554C2C"/>
    <w:rsid w:val="00556A41"/>
    <w:rsid w:val="00576D64"/>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B4C31"/>
    <w:rsid w:val="007C31B5"/>
    <w:rsid w:val="008D27EF"/>
    <w:rsid w:val="008F1609"/>
    <w:rsid w:val="008F465C"/>
    <w:rsid w:val="00910CB0"/>
    <w:rsid w:val="009259CF"/>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84A8C"/>
    <w:rsid w:val="00C87F52"/>
    <w:rsid w:val="00C90EB9"/>
    <w:rsid w:val="00CA70AC"/>
    <w:rsid w:val="00CB1954"/>
    <w:rsid w:val="00CB661F"/>
    <w:rsid w:val="00CF723E"/>
    <w:rsid w:val="00CF76F8"/>
    <w:rsid w:val="00D04CA5"/>
    <w:rsid w:val="00D04CCD"/>
    <w:rsid w:val="00D2257D"/>
    <w:rsid w:val="00D317C8"/>
    <w:rsid w:val="00D34A70"/>
    <w:rsid w:val="00D4139B"/>
    <w:rsid w:val="00D51F4C"/>
    <w:rsid w:val="00D84524"/>
    <w:rsid w:val="00DD03C4"/>
    <w:rsid w:val="00DE3CF7"/>
    <w:rsid w:val="00DF0D6A"/>
    <w:rsid w:val="00DF1B43"/>
    <w:rsid w:val="00DF7308"/>
    <w:rsid w:val="00E00AA3"/>
    <w:rsid w:val="00E56C55"/>
    <w:rsid w:val="00E954E9"/>
    <w:rsid w:val="00EA2F09"/>
    <w:rsid w:val="00ED1E27"/>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790CDF3-9EF3-4F04-A5F7-F96EC7B9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863</Words>
  <Characters>4921</Characters>
  <DocSecurity>0</DocSecurity>
  <Lines>41</Lines>
  <Paragraphs>11</Paragraphs>
  <ScaleCrop>false</ScaleCrop>
  <HeadingPairs>
    <vt:vector size="2" baseType="variant">
      <vt:variant>
        <vt:lpstr>Title</vt:lpstr>
      </vt:variant>
      <vt:variant>
        <vt:i4>1</vt:i4>
      </vt:variant>
    </vt:vector>
  </HeadingPairs>
  <LinksUpToDate>false</LinksUpToDate>
  <CharactersWithSpaces>5773</CharactersWithSpaces>
  <SharedDoc>false</SharedDoc>
  <HyperlinksChanged>false</HyperlinksChanged>
</Properties>
</file>