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HR OFFICER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bookmarkStart w:id="0" w:name="_GoBack"/>
      <w:bookmarkEnd w:id="0"/>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 xml:space="preserve">HR Officer </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HR</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TableBullet"/>
              <w:numPr>
                <w:ilvl w:val="0"/>
                <w:numId w:val="13"/>
              </w:numPr>
              <w:tabs>
                <w:tab w:val="left" w:pos="284"/>
              </w:tabs>
              <w:jc w:val="both"/>
            </w:pPr>
            <w:r>
              <w:t>Provide general administration assistance to the HR Manager as required to assist in the achievement of business objectives.</w:t>
            </w:r>
          </w:p>
          <w:p>
            <w:pPr>
              <w:pStyle w:val="TableBullet"/>
              <w:numPr>
                <w:ilvl w:val="0"/>
                <w:numId w:val="13"/>
              </w:numPr>
              <w:tabs>
                <w:tab w:val="left" w:pos="284"/>
              </w:tabs>
              <w:jc w:val="both"/>
            </w:pPr>
            <w:r>
              <w:t>Assist the HR Manager in reviewing and developing human resource policies and procedures.</w:t>
            </w:r>
          </w:p>
          <w:p>
            <w:pPr>
              <w:pStyle w:val="TableBullet"/>
              <w:numPr>
                <w:ilvl w:val="0"/>
                <w:numId w:val="13"/>
              </w:numPr>
              <w:tabs>
                <w:tab w:val="left" w:pos="284"/>
              </w:tabs>
              <w:jc w:val="both"/>
            </w:pPr>
            <w:r>
              <w:t>Support and assist managers in undertaking and implementing HR processes in their divisions including but not limited to performance appraisals, disciplinary processes, learning and development activities and policy interpretation.</w:t>
            </w:r>
          </w:p>
          <w:p>
            <w:pPr>
              <w:pStyle w:val="TableBullet"/>
              <w:numPr>
                <w:ilvl w:val="0"/>
                <w:numId w:val="13"/>
              </w:numPr>
              <w:tabs>
                <w:tab w:val="left" w:pos="284"/>
              </w:tabs>
              <w:jc w:val="both"/>
            </w:pPr>
            <w:r>
              <w:t>Administer letters of offer and employment status changes to ensure employment records are accurate and up to date.</w:t>
            </w:r>
          </w:p>
          <w:p>
            <w:pPr>
              <w:pStyle w:val="TableBullet"/>
              <w:numPr>
                <w:ilvl w:val="0"/>
                <w:numId w:val="13"/>
              </w:numPr>
              <w:tabs>
                <w:tab w:val="left" w:pos="284"/>
              </w:tabs>
              <w:jc w:val="both"/>
            </w:pPr>
            <w:r>
              <w:t>Undertake recruitment and selection activities.</w:t>
            </w:r>
          </w:p>
          <w:p>
            <w:pPr>
              <w:pStyle w:val="TableBullet"/>
              <w:numPr>
                <w:ilvl w:val="0"/>
                <w:numId w:val="13"/>
              </w:numPr>
              <w:tabs>
                <w:tab w:val="left" w:pos="284"/>
              </w:tabs>
              <w:jc w:val="both"/>
            </w:pPr>
            <w:r>
              <w:t>Liaise with external agencies to undertake recruitment activities, and coordinate employment applications.</w:t>
            </w:r>
          </w:p>
          <w:p>
            <w:pPr>
              <w:pStyle w:val="TableBullet"/>
              <w:numPr>
                <w:ilvl w:val="0"/>
                <w:numId w:val="13"/>
              </w:numPr>
              <w:tabs>
                <w:tab w:val="left" w:pos="284"/>
              </w:tabs>
              <w:jc w:val="both"/>
            </w:pPr>
            <w:r>
              <w:t>Maintain the personnel database and files (HRIS), including employee records, workers compensation files, performance management data, and remuneration records.</w:t>
            </w:r>
          </w:p>
          <w:p>
            <w:pPr>
              <w:pStyle w:val="TableBullet"/>
              <w:numPr>
                <w:ilvl w:val="0"/>
                <w:numId w:val="13"/>
              </w:numPr>
              <w:tabs>
                <w:tab w:val="left" w:pos="284"/>
              </w:tabs>
              <w:jc w:val="both"/>
            </w:pPr>
            <w:r>
              <w:t>Process and maintain the system of applications for allowance payments, leave requests, promotions, remuneration reviews, and other HR issues.</w:t>
            </w:r>
          </w:p>
          <w:p>
            <w:pPr>
              <w:pStyle w:val="TableBullet"/>
              <w:numPr>
                <w:ilvl w:val="0"/>
                <w:numId w:val="13"/>
              </w:numPr>
              <w:tabs>
                <w:tab w:val="left" w:pos="284"/>
              </w:tabs>
              <w:jc w:val="both"/>
            </w:pPr>
            <w:r>
              <w:t>Act as a point of reference for HR queries from staff and managers across the Department.</w:t>
            </w:r>
          </w:p>
          <w:p>
            <w:pPr>
              <w:pStyle w:val="TableBullet"/>
              <w:numPr>
                <w:ilvl w:val="0"/>
                <w:numId w:val="13"/>
              </w:numPr>
              <w:tabs>
                <w:tab w:val="left" w:pos="284"/>
              </w:tabs>
              <w:jc w:val="both"/>
            </w:pPr>
            <w:r>
              <w:t>Actively participate in the Annual Performance Review process.</w:t>
            </w:r>
          </w:p>
          <w:p>
            <w:pPr>
              <w:pStyle w:val="TableBullet"/>
              <w:numPr>
                <w:ilvl w:val="0"/>
                <w:numId w:val="13"/>
              </w:numPr>
              <w:tabs>
                <w:tab w:val="left" w:pos="284"/>
              </w:tabs>
              <w:jc w:val="both"/>
              <w:rPr>
                <w:bCs w:val="0"/>
              </w:rPr>
            </w:pPr>
            <w:r>
              <w:t>Observe and practice the [insert company name] 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Degree</w:t>
            </w:r>
            <w:r>
              <w:rPr>
                <w:rFonts w:ascii="Arial" w:hAnsi="Arial" w:cs="Arial"/>
              </w:rPr>
              <w:t xml:space="preserve"> in Human Resources Management </w:t>
            </w:r>
            <w:r>
              <w:rPr>
                <w:rFonts w:ascii="Arial" w:hAnsi="Arial" w:cs="Arial"/>
              </w:rPr>
              <w:t xml:space="preserv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lastRenderedPageBreak/>
              <w:t>Advanced skills in Microsoft Word and Excel</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HR Officer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425337D" wp14:editId="3235167B">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6"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8"/>
  </w:num>
  <w:num w:numId="8">
    <w:abstractNumId w:val="16"/>
  </w:num>
  <w:num w:numId="9">
    <w:abstractNumId w:val="15"/>
  </w:num>
  <w:num w:numId="10">
    <w:abstractNumId w:val="7"/>
  </w:num>
  <w:num w:numId="11">
    <w:abstractNumId w:val="11"/>
  </w:num>
  <w:num w:numId="12">
    <w:abstractNumId w:val="17"/>
  </w:num>
  <w:num w:numId="13">
    <w:abstractNumId w:val="6"/>
  </w:num>
  <w:num w:numId="14">
    <w:abstractNumId w:val="9"/>
  </w:num>
  <w:num w:numId="15">
    <w:abstractNumId w:val="4"/>
  </w:num>
  <w:num w:numId="16">
    <w:abstractNumId w:val="3"/>
  </w:num>
  <w:num w:numId="17">
    <w:abstractNumId w:val="12"/>
  </w:num>
  <w:num w:numId="18">
    <w:abstractNumId w:val="5"/>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1D6F"/>
    <w:rsid w:val="00015058"/>
    <w:rsid w:val="000669ED"/>
    <w:rsid w:val="0006770D"/>
    <w:rsid w:val="00080BA6"/>
    <w:rsid w:val="00084220"/>
    <w:rsid w:val="000862FA"/>
    <w:rsid w:val="000A62DE"/>
    <w:rsid w:val="000B191E"/>
    <w:rsid w:val="000C6A20"/>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E13A1"/>
    <w:rsid w:val="005F51D6"/>
    <w:rsid w:val="0060282D"/>
    <w:rsid w:val="0061326F"/>
    <w:rsid w:val="00613ED1"/>
    <w:rsid w:val="00615D5C"/>
    <w:rsid w:val="006439BD"/>
    <w:rsid w:val="00652018"/>
    <w:rsid w:val="0067244D"/>
    <w:rsid w:val="00674CE5"/>
    <w:rsid w:val="00677809"/>
    <w:rsid w:val="00680DC2"/>
    <w:rsid w:val="006A1DB3"/>
    <w:rsid w:val="006A7ABE"/>
    <w:rsid w:val="006F09D0"/>
    <w:rsid w:val="006F1EA9"/>
    <w:rsid w:val="00726165"/>
    <w:rsid w:val="00732231"/>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C5932"/>
    <w:rsid w:val="009D19D4"/>
    <w:rsid w:val="00A06FD0"/>
    <w:rsid w:val="00A328E3"/>
    <w:rsid w:val="00A40DA9"/>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customStyle="1" w:styleId="TableBullet">
    <w:name w:val="Table Bullet"/>
    <w:basedOn w:val="Normal"/>
    <w:rsid w:val="00732231"/>
    <w:pPr>
      <w:numPr>
        <w:numId w:val="18"/>
      </w:numPr>
      <w:suppressAutoHyphens w:val="0"/>
      <w:spacing w:before="40" w:after="40" w:line="240" w:lineRule="atLeast"/>
    </w:pPr>
    <w:rPr>
      <w:rFonts w:ascii="Arial" w:eastAsia="Times New Roman" w:hAnsi="Arial"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687</Words>
  <Characters>3920</Characters>
  <DocSecurity>0</DocSecurity>
  <Lines>32</Lines>
  <Paragraphs>9</Paragraphs>
  <ScaleCrop>false</ScaleCrop>
  <HeadingPairs>
    <vt:vector size="2" baseType="variant">
      <vt:variant>
        <vt:lpstr>Title</vt:lpstr>
      </vt:variant>
      <vt:variant>
        <vt:i4>1</vt:i4>
      </vt:variant>
    </vt:vector>
  </HeadingPairs>
  <LinksUpToDate>false</LinksUpToDate>
  <CharactersWithSpaces>4598</CharactersWithSpaces>
  <SharedDoc>false</SharedDoc>
  <HyperlinksChanged>false</HyperlinksChanged>
</Properties>
</file>