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DISCIPLINARY AND WARNING PROCEDURES</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w:t>
      </w:r>
      <w:bookmarkStart w:id="0" w:name="_GoBack"/>
      <w:bookmarkEnd w:id="0"/>
      <w:r>
        <w:rPr>
          <w:rFonts w:ascii="Arial" w:hAnsi="Arial" w:cs="Arial"/>
        </w:rPr>
        <w:t xml:space="preserve">the context, meaning or purpose of the policy. We recommend you receive 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 xml:space="preserve">Disclaimer </w:t>
      </w:r>
    </w:p>
    <w:p>
      <w:pPr>
        <w:pStyle w:val="DisclaimerHeading"/>
        <w:spacing w:line="276" w:lineRule="auto"/>
        <w:rPr>
          <w:rFonts w:ascii="Arial" w:hAnsi="Arial" w:cs="Arial"/>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DISCIPLINARY PROCEDURES</w:t>
      </w:r>
    </w:p>
    <w:p>
      <w:pPr>
        <w:pStyle w:val="NoSpacing"/>
        <w:shd w:val="clear" w:color="auto" w:fill="FFFFFF" w:themeFill="background1"/>
        <w:spacing w:line="276" w:lineRule="auto"/>
        <w:jc w:val="both"/>
        <w:rPr>
          <w:rFonts w:ascii="Arial" w:hAnsi="Arial" w:cs="Arial"/>
          <w:sz w:val="22"/>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1"/>
        <w:spacing w:line="276" w:lineRule="auto"/>
        <w:rPr>
          <w:rFonts w:ascii="Arial" w:eastAsiaTheme="minorHAnsi" w:hAnsi="Arial" w:cs="Arial"/>
          <w:bCs w:val="0"/>
          <w:color w:val="auto"/>
          <w:sz w:val="16"/>
          <w:szCs w:val="16"/>
        </w:rPr>
      </w:pPr>
    </w:p>
    <w:p>
      <w:pPr>
        <w:pStyle w:val="Heading2"/>
        <w:spacing w:line="276" w:lineRule="auto"/>
        <w:rPr>
          <w:rFonts w:ascii="Arial" w:hAnsi="Arial" w:cs="Arial"/>
          <w:lang w:val="en-GB"/>
        </w:rPr>
      </w:pPr>
      <w:r>
        <w:rPr>
          <w:rFonts w:ascii="Arial" w:hAnsi="Arial" w:cs="Arial"/>
          <w:lang w:val="en-GB"/>
        </w:rPr>
        <w:t>1</w:t>
      </w:r>
      <w:r>
        <w:rPr>
          <w:rFonts w:ascii="Arial" w:hAnsi="Arial" w:cs="Arial"/>
          <w:lang w:val="en-GB"/>
        </w:rPr>
        <w:tab/>
        <w:t>PURPOSE</w:t>
      </w:r>
    </w:p>
    <w:p>
      <w:pPr>
        <w:spacing w:before="120" w:line="276" w:lineRule="auto"/>
        <w:jc w:val="both"/>
        <w:rPr>
          <w:rFonts w:ascii="Arial" w:hAnsi="Arial" w:cs="Arial"/>
          <w:lang w:val="en-GB"/>
        </w:rPr>
      </w:pPr>
      <w:r>
        <w:rPr>
          <w:rFonts w:ascii="Arial" w:hAnsi="Arial" w:cs="Arial"/>
          <w:lang w:val="en-GB"/>
        </w:rPr>
        <w:t xml:space="preserve">The purpose of this policy is to outline the process for addressing unsatisfactory work performance and/or conduct.   </w:t>
      </w:r>
    </w:p>
    <w:p>
      <w:pPr>
        <w:pStyle w:val="Heading2"/>
        <w:spacing w:line="276" w:lineRule="auto"/>
        <w:rPr>
          <w:rFonts w:ascii="Arial" w:hAnsi="Arial" w:cs="Arial"/>
          <w:lang w:val="en-GB"/>
        </w:rPr>
      </w:pPr>
      <w:r>
        <w:rPr>
          <w:rFonts w:ascii="Arial" w:hAnsi="Arial" w:cs="Arial"/>
          <w:lang w:val="en-GB"/>
        </w:rPr>
        <w:t>2</w:t>
      </w:r>
      <w:r>
        <w:rPr>
          <w:rFonts w:ascii="Arial" w:hAnsi="Arial" w:cs="Arial"/>
          <w:lang w:val="en-GB"/>
        </w:rPr>
        <w:tab/>
        <w:t>APPLICATION</w:t>
      </w:r>
    </w:p>
    <w:p>
      <w:pPr>
        <w:spacing w:before="120" w:line="276" w:lineRule="auto"/>
        <w:jc w:val="both"/>
        <w:rPr>
          <w:rFonts w:ascii="Arial" w:hAnsi="Arial" w:cs="Arial"/>
          <w:lang w:val="en-GB"/>
        </w:rPr>
      </w:pPr>
      <w:r>
        <w:rPr>
          <w:rFonts w:ascii="Arial" w:hAnsi="Arial" w:cs="Arial"/>
          <w:lang w:val="en-GB"/>
        </w:rPr>
        <w:t>This policy applies to all employees except irregular casuals.</w:t>
      </w:r>
    </w:p>
    <w:p>
      <w:pPr>
        <w:pStyle w:val="Heading2"/>
        <w:spacing w:line="276" w:lineRule="auto"/>
        <w:rPr>
          <w:rFonts w:ascii="Arial" w:hAnsi="Arial" w:cs="Arial"/>
          <w:lang w:val="en-GB"/>
        </w:rPr>
      </w:pPr>
      <w:r>
        <w:rPr>
          <w:rFonts w:ascii="Arial" w:hAnsi="Arial" w:cs="Arial"/>
          <w:lang w:val="en-GB"/>
        </w:rPr>
        <w:t>3</w:t>
      </w:r>
      <w:r>
        <w:rPr>
          <w:rFonts w:ascii="Arial" w:hAnsi="Arial" w:cs="Arial"/>
          <w:lang w:val="en-GB"/>
        </w:rPr>
        <w:tab/>
        <w:t>DEFINITIONS</w:t>
      </w:r>
    </w:p>
    <w:p>
      <w:pPr>
        <w:spacing w:before="120" w:line="276" w:lineRule="auto"/>
        <w:jc w:val="both"/>
        <w:rPr>
          <w:rFonts w:ascii="Arial" w:hAnsi="Arial" w:cs="Arial"/>
          <w:bCs/>
          <w:lang w:val="en-GB"/>
        </w:rPr>
      </w:pPr>
      <w:r>
        <w:rPr>
          <w:rFonts w:ascii="Arial" w:hAnsi="Arial" w:cs="Arial"/>
          <w:bCs/>
          <w:lang w:val="en-GB"/>
        </w:rPr>
        <w:t>An “irregular casual” is a casual employee that does not work a clear, repetitive pattern of hours.</w:t>
      </w:r>
    </w:p>
    <w:p>
      <w:pPr>
        <w:spacing w:before="120" w:line="276" w:lineRule="auto"/>
        <w:jc w:val="both"/>
        <w:rPr>
          <w:rFonts w:ascii="Arial" w:hAnsi="Arial" w:cs="Arial"/>
          <w:bCs/>
          <w:lang w:val="en-GB"/>
        </w:rPr>
      </w:pPr>
      <w:r>
        <w:rPr>
          <w:rFonts w:ascii="Arial" w:hAnsi="Arial" w:cs="Arial"/>
          <w:bCs/>
          <w:lang w:val="en-GB"/>
        </w:rPr>
        <w:t>“Unsatisfactory work performance” is performance that continues to be below the expectations relevant to the position. Unsatisfactory work performance includes, but is not limited to:</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neglect of duties</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an inability to exercise good judgement</w:t>
      </w:r>
    </w:p>
    <w:p>
      <w:pPr>
        <w:numPr>
          <w:ilvl w:val="0"/>
          <w:numId w:val="15"/>
        </w:numPr>
        <w:suppressAutoHyphens w:val="0"/>
        <w:spacing w:before="120" w:line="276" w:lineRule="auto"/>
        <w:jc w:val="both"/>
        <w:rPr>
          <w:rFonts w:ascii="Arial" w:hAnsi="Arial" w:cs="Arial"/>
          <w:bCs/>
          <w:lang w:val="en-GB"/>
        </w:rPr>
      </w:pPr>
      <w:r>
        <w:rPr>
          <w:rFonts w:ascii="Arial" w:hAnsi="Arial" w:cs="Arial"/>
          <w:bCs/>
          <w:lang w:val="en-GB"/>
        </w:rPr>
        <w:t>an inability to complete tasks in reasonable amount of time</w:t>
      </w:r>
    </w:p>
    <w:p>
      <w:pPr>
        <w:spacing w:before="120" w:line="276" w:lineRule="auto"/>
        <w:jc w:val="both"/>
        <w:rPr>
          <w:rFonts w:ascii="Arial" w:hAnsi="Arial" w:cs="Arial"/>
          <w:bCs/>
          <w:lang w:val="en-GB"/>
        </w:rPr>
      </w:pPr>
      <w:r>
        <w:rPr>
          <w:rFonts w:ascii="Arial" w:hAnsi="Arial" w:cs="Arial"/>
          <w:bCs/>
          <w:lang w:val="en-GB"/>
        </w:rPr>
        <w:t>“Unsatisfactory conduct” is conduct that falls short of the standard of competence and diligence relevant to the position. Unsatisfactory conduct includes, but is not limited to:</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breach of discipline</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breach of policy or procedure</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harassment</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unauthorised absenteeism</w:t>
      </w:r>
    </w:p>
    <w:p>
      <w:pPr>
        <w:numPr>
          <w:ilvl w:val="0"/>
          <w:numId w:val="16"/>
        </w:numPr>
        <w:suppressAutoHyphens w:val="0"/>
        <w:spacing w:before="120" w:line="276" w:lineRule="auto"/>
        <w:jc w:val="both"/>
        <w:rPr>
          <w:rFonts w:ascii="Arial" w:hAnsi="Arial" w:cs="Arial"/>
          <w:bCs/>
          <w:lang w:val="en-GB"/>
        </w:rPr>
      </w:pPr>
      <w:r>
        <w:rPr>
          <w:rFonts w:ascii="Arial" w:hAnsi="Arial" w:cs="Arial"/>
          <w:bCs/>
          <w:lang w:val="en-GB"/>
        </w:rPr>
        <w:t xml:space="preserve">deliberate non-compliance with occupational health and safety rules   </w:t>
      </w:r>
    </w:p>
    <w:p>
      <w:pPr>
        <w:pStyle w:val="Heading2"/>
        <w:spacing w:line="276" w:lineRule="auto"/>
        <w:rPr>
          <w:rFonts w:ascii="Arial" w:hAnsi="Arial" w:cs="Arial"/>
          <w:lang w:val="en-GB"/>
        </w:rPr>
      </w:pPr>
      <w:r>
        <w:rPr>
          <w:rFonts w:ascii="Arial" w:hAnsi="Arial" w:cs="Arial"/>
          <w:lang w:val="en-GB"/>
        </w:rPr>
        <w:t>4</w:t>
      </w:r>
      <w:r>
        <w:rPr>
          <w:rFonts w:ascii="Arial" w:hAnsi="Arial" w:cs="Arial"/>
          <w:lang w:val="en-GB"/>
        </w:rPr>
        <w:tab/>
        <w:t>POLICY AND PROCEDURE</w:t>
      </w:r>
    </w:p>
    <w:p>
      <w:pPr>
        <w:spacing w:line="276" w:lineRule="auto"/>
        <w:rPr>
          <w:rFonts w:ascii="Arial" w:hAnsi="Arial" w:cs="Arial"/>
          <w:lang w:val="en-GB"/>
        </w:rPr>
      </w:pPr>
      <w:r>
        <w:rPr>
          <w:rFonts w:ascii="Arial" w:hAnsi="Arial" w:cs="Arial"/>
          <w:lang w:val="en-GB"/>
        </w:rPr>
        <w:t xml:space="preserve">Disciplinary action, except in cases of serious misconduct, may be an incremental process which can be terminated at any stage. As performance and/or conduct must be assessed on a case-by-case basis, it will not always be appropriate to provide three (3) warnings before considering termination. The following procedure is a guideline only and </w:t>
      </w:r>
      <w:r>
        <w:rPr>
          <w:rFonts w:ascii="Arial" w:hAnsi="Arial" w:cs="Arial"/>
          <w:b/>
        </w:rPr>
        <w:t>[INSERT COMPANY NAME]</w:t>
      </w:r>
      <w:r>
        <w:rPr>
          <w:rFonts w:ascii="Arial" w:hAnsi="Arial" w:cs="Arial"/>
          <w:bCs/>
        </w:rPr>
        <w:t xml:space="preserve"> retains the right to provide fewer than three (including zero) warnings before terminating an employee’s employment. </w:t>
      </w:r>
      <w:r>
        <w:rPr>
          <w:rFonts w:ascii="Arial" w:hAnsi="Arial" w:cs="Arial"/>
          <w:lang w:val="en-GB"/>
        </w:rPr>
        <w:t xml:space="preserve"> </w:t>
      </w:r>
    </w:p>
    <w:p>
      <w:pPr>
        <w:pStyle w:val="Heading3"/>
        <w:spacing w:line="276" w:lineRule="auto"/>
        <w:rPr>
          <w:rFonts w:ascii="Arial" w:hAnsi="Arial" w:cs="Arial"/>
          <w:lang w:val="en-GB"/>
        </w:rPr>
      </w:pPr>
      <w:r>
        <w:rPr>
          <w:rFonts w:ascii="Arial" w:hAnsi="Arial" w:cs="Arial"/>
          <w:lang w:val="en-GB"/>
        </w:rPr>
        <w:t>Step 1 – First warning</w:t>
      </w:r>
    </w:p>
    <w:p>
      <w:pPr>
        <w:spacing w:line="276" w:lineRule="auto"/>
        <w:rPr>
          <w:rFonts w:ascii="Arial" w:hAnsi="Arial" w:cs="Arial"/>
          <w:lang w:val="en-GB"/>
        </w:rPr>
      </w:pPr>
      <w:r>
        <w:rPr>
          <w:rFonts w:ascii="Arial" w:hAnsi="Arial" w:cs="Arial"/>
          <w:lang w:val="en-GB"/>
        </w:rPr>
        <w:t xml:space="preserve">Where an employee’s work performance or conduct is considered unsatisfactory, the employee will be informed by their immediate supervisor/manager. The employee will then have an opportunity to respond to the allegation(s). </w:t>
      </w:r>
    </w:p>
    <w:p>
      <w:pPr>
        <w:spacing w:line="276" w:lineRule="auto"/>
        <w:rPr>
          <w:rFonts w:ascii="Arial" w:hAnsi="Arial" w:cs="Arial"/>
          <w:lang w:val="en-GB"/>
        </w:rPr>
      </w:pPr>
      <w:r>
        <w:rPr>
          <w:rFonts w:ascii="Arial" w:hAnsi="Arial" w:cs="Arial"/>
          <w:lang w:val="en-GB"/>
        </w:rPr>
        <w:t xml:space="preserve">If the supervisor/manager is unsatisfied with the employee’s response, a first written warning will be issued to the employee advising of the nature of the poor performance or conduct and any corrective action required.   </w:t>
      </w:r>
    </w:p>
    <w:p>
      <w:pPr>
        <w:spacing w:line="276" w:lineRule="auto"/>
        <w:rPr>
          <w:rFonts w:ascii="Arial" w:hAnsi="Arial" w:cs="Arial"/>
          <w:lang w:val="en-GB"/>
        </w:rPr>
      </w:pPr>
      <w:r>
        <w:rPr>
          <w:rFonts w:ascii="Arial" w:hAnsi="Arial" w:cs="Arial"/>
          <w:lang w:val="en-GB"/>
        </w:rPr>
        <w:t xml:space="preserve">A date will be agreed upon in the future to review the employee’s performance or conduct. </w:t>
      </w:r>
    </w:p>
    <w:p>
      <w:pPr>
        <w:pStyle w:val="Heading3"/>
        <w:spacing w:line="276" w:lineRule="auto"/>
        <w:rPr>
          <w:rFonts w:ascii="Arial" w:hAnsi="Arial" w:cs="Arial"/>
          <w:lang w:val="en-GB"/>
        </w:rPr>
      </w:pPr>
      <w:r>
        <w:rPr>
          <w:rFonts w:ascii="Arial" w:hAnsi="Arial" w:cs="Arial"/>
          <w:lang w:val="en-GB"/>
        </w:rPr>
        <w:lastRenderedPageBreak/>
        <w:t>Step 2 – Second warning</w:t>
      </w:r>
    </w:p>
    <w:p>
      <w:pPr>
        <w:spacing w:line="276" w:lineRule="auto"/>
        <w:rPr>
          <w:rFonts w:ascii="Arial" w:hAnsi="Arial" w:cs="Arial"/>
          <w:lang w:val="en-GB"/>
        </w:rPr>
      </w:pPr>
      <w:r>
        <w:rPr>
          <w:rFonts w:ascii="Arial" w:hAnsi="Arial" w:cs="Arial"/>
          <w:lang w:val="en-GB"/>
        </w:rPr>
        <w:t xml:space="preserve">Where the employee fails to improve on their poor performance or conduct, the employee will again be informed by their immediate supervisor/manager. The employee will then have an opportunity to respond to the allegation(s).  </w:t>
      </w:r>
    </w:p>
    <w:p>
      <w:pPr>
        <w:spacing w:line="276" w:lineRule="auto"/>
        <w:rPr>
          <w:rFonts w:ascii="Arial" w:hAnsi="Arial" w:cs="Arial"/>
          <w:lang w:val="en-GB"/>
        </w:rPr>
      </w:pPr>
      <w:r>
        <w:rPr>
          <w:rFonts w:ascii="Arial" w:hAnsi="Arial" w:cs="Arial"/>
          <w:lang w:val="en-GB"/>
        </w:rPr>
        <w:t xml:space="preserve">If the supervisor/manager is unsatisfied with the employee’s response, a second written warning will be issued to the employee advising of the nature of the poor performance or conduct and any corrective action required. </w:t>
      </w:r>
    </w:p>
    <w:p>
      <w:pPr>
        <w:spacing w:line="276" w:lineRule="auto"/>
        <w:rPr>
          <w:rFonts w:ascii="Arial" w:hAnsi="Arial" w:cs="Arial"/>
          <w:lang w:val="en-GB"/>
        </w:rPr>
      </w:pPr>
      <w:r>
        <w:rPr>
          <w:rFonts w:ascii="Arial" w:hAnsi="Arial" w:cs="Arial"/>
          <w:lang w:val="en-GB"/>
        </w:rPr>
        <w:t xml:space="preserve">A date will be agreed upon in the future to review the employee’s performance or conduct.   </w:t>
      </w:r>
    </w:p>
    <w:p>
      <w:pPr>
        <w:pStyle w:val="Heading3"/>
        <w:spacing w:line="276" w:lineRule="auto"/>
        <w:rPr>
          <w:rFonts w:ascii="Arial" w:hAnsi="Arial" w:cs="Arial"/>
          <w:lang w:val="en-GB"/>
        </w:rPr>
      </w:pPr>
      <w:r>
        <w:rPr>
          <w:rFonts w:ascii="Arial" w:hAnsi="Arial" w:cs="Arial"/>
          <w:lang w:val="en-GB"/>
        </w:rPr>
        <w:t>Step 3 – Third and final warning</w:t>
      </w:r>
    </w:p>
    <w:p>
      <w:pPr>
        <w:spacing w:line="276" w:lineRule="auto"/>
        <w:rPr>
          <w:rFonts w:ascii="Arial" w:hAnsi="Arial" w:cs="Arial"/>
          <w:lang w:val="en-GB"/>
        </w:rPr>
      </w:pPr>
      <w:r>
        <w:rPr>
          <w:rFonts w:ascii="Arial" w:hAnsi="Arial" w:cs="Arial"/>
          <w:lang w:val="en-GB"/>
        </w:rPr>
        <w:t xml:space="preserve">If an employee’s unsatisfactory work performance or conduct continues following two (2) written warnings, the employee will be informed by their immediate supervisor/manager. The employee will then have an opportunity to respond to the allegation(s).   </w:t>
      </w:r>
    </w:p>
    <w:p>
      <w:pPr>
        <w:spacing w:line="276" w:lineRule="auto"/>
        <w:rPr>
          <w:rFonts w:ascii="Arial" w:hAnsi="Arial" w:cs="Arial"/>
          <w:lang w:val="en-GB"/>
        </w:rPr>
      </w:pPr>
      <w:r>
        <w:rPr>
          <w:rFonts w:ascii="Arial" w:hAnsi="Arial" w:cs="Arial"/>
          <w:lang w:val="en-GB"/>
        </w:rPr>
        <w:t xml:space="preserve">If the supervisor/manager is unsatisfied with the employee’s response, a third and final written warning will be issued to the employee advising of the nature of the poor performance or conduct and any corrective action required.  The warning shall also advice the employee that should the unsatisfactory performance or conduct not improve, termination of employment will be considered.  </w:t>
      </w:r>
    </w:p>
    <w:p>
      <w:pPr>
        <w:spacing w:line="276" w:lineRule="auto"/>
        <w:rPr>
          <w:rFonts w:ascii="Arial" w:hAnsi="Arial" w:cs="Arial"/>
          <w:lang w:val="en-GB"/>
        </w:rPr>
      </w:pPr>
      <w:r>
        <w:rPr>
          <w:rFonts w:ascii="Arial" w:hAnsi="Arial" w:cs="Arial"/>
          <w:lang w:val="en-GB"/>
        </w:rPr>
        <w:t>A date will be agreed upon in the future to review the employee’s performance or conduct.</w:t>
      </w:r>
    </w:p>
    <w:p>
      <w:pPr>
        <w:pStyle w:val="Heading2"/>
        <w:spacing w:line="276" w:lineRule="auto"/>
        <w:rPr>
          <w:rFonts w:ascii="Arial" w:hAnsi="Arial" w:cs="Arial"/>
          <w:lang w:val="en-GB"/>
        </w:rPr>
      </w:pPr>
      <w:r>
        <w:rPr>
          <w:rFonts w:ascii="Arial" w:hAnsi="Arial" w:cs="Arial"/>
          <w:lang w:val="en-GB"/>
        </w:rPr>
        <w:t>5</w:t>
      </w:r>
      <w:r>
        <w:rPr>
          <w:rFonts w:ascii="Arial" w:hAnsi="Arial" w:cs="Arial"/>
          <w:lang w:val="en-GB"/>
        </w:rPr>
        <w:tab/>
        <w:t>POLICY REVIEW</w:t>
      </w:r>
    </w:p>
    <w:p>
      <w:pPr>
        <w:spacing w:line="276" w:lineRule="auto"/>
        <w:rPr>
          <w:rFonts w:ascii="Arial" w:hAnsi="Arial" w:cs="Arial"/>
          <w:bCs/>
          <w:lang w:val="en-GB"/>
        </w:rPr>
      </w:pPr>
      <w:r>
        <w:rPr>
          <w:rFonts w:ascii="Arial" w:hAnsi="Arial" w:cs="Arial"/>
          <w:b/>
        </w:rPr>
        <w:t>[INSERT COMPANY NAME]</w:t>
      </w:r>
      <w:r>
        <w:rPr>
          <w:rFonts w:ascii="Arial" w:hAnsi="Arial" w:cs="Arial"/>
          <w:b/>
          <w:bCs/>
        </w:rPr>
        <w:t xml:space="preserve"> </w:t>
      </w:r>
      <w:r>
        <w:rPr>
          <w:rFonts w:ascii="Arial" w:hAnsi="Arial" w:cs="Arial"/>
          <w:bCs/>
          <w:lang w:val="en-GB"/>
        </w:rPr>
        <w:t>may make changes to this policy from time to time to improve the effectiveness of its operation.</w:t>
      </w:r>
    </w:p>
    <w:p>
      <w:pPr>
        <w:pStyle w:val="Heading1"/>
        <w:spacing w:line="276" w:lineRule="auto"/>
        <w:rPr>
          <w:rFonts w:ascii="Arial" w:hAnsi="Arial" w:cs="Arial"/>
          <w:color w:val="auto"/>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pStyle w:val="Heading1"/>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pStyle w:val="Heading1"/>
        <w:spacing w:line="276" w:lineRule="auto"/>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Disciplinary and Warning Procedures</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14FD7F1" wp14:editId="6F1BD865">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8864C5E"/>
    <w:multiLevelType w:val="hybridMultilevel"/>
    <w:tmpl w:val="DECAA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EA1A0F"/>
    <w:multiLevelType w:val="hybridMultilevel"/>
    <w:tmpl w:val="C5DAD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B07968"/>
    <w:multiLevelType w:val="hybridMultilevel"/>
    <w:tmpl w:val="CF36D9E8"/>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0D1682"/>
    <w:multiLevelType w:val="hybridMultilevel"/>
    <w:tmpl w:val="62220B92"/>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6"/>
  </w:num>
  <w:num w:numId="3">
    <w:abstractNumId w:val="11"/>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9"/>
  </w:num>
  <w:num w:numId="12">
    <w:abstractNumId w:val="15"/>
  </w:num>
  <w:num w:numId="13">
    <w:abstractNumId w:val="7"/>
  </w:num>
  <w:num w:numId="14">
    <w:abstractNumId w:val="5"/>
  </w:num>
  <w:num w:numId="15">
    <w:abstractNumId w:val="8"/>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7E"/>
    <w:rsid w:val="00003826"/>
    <w:rsid w:val="000135F5"/>
    <w:rsid w:val="000669ED"/>
    <w:rsid w:val="00080BA6"/>
    <w:rsid w:val="00084220"/>
    <w:rsid w:val="000A62DE"/>
    <w:rsid w:val="000B191E"/>
    <w:rsid w:val="000C6A20"/>
    <w:rsid w:val="001905B2"/>
    <w:rsid w:val="00191D7A"/>
    <w:rsid w:val="00191FC7"/>
    <w:rsid w:val="001E4D71"/>
    <w:rsid w:val="001E72B8"/>
    <w:rsid w:val="002633C4"/>
    <w:rsid w:val="00287732"/>
    <w:rsid w:val="002964DC"/>
    <w:rsid w:val="002D32DE"/>
    <w:rsid w:val="002D72F9"/>
    <w:rsid w:val="003104BA"/>
    <w:rsid w:val="003251D1"/>
    <w:rsid w:val="0033442A"/>
    <w:rsid w:val="00334FBD"/>
    <w:rsid w:val="00357CE5"/>
    <w:rsid w:val="00375E41"/>
    <w:rsid w:val="003A7EA8"/>
    <w:rsid w:val="003C0902"/>
    <w:rsid w:val="00406C7E"/>
    <w:rsid w:val="0041340C"/>
    <w:rsid w:val="00436A8F"/>
    <w:rsid w:val="004C3879"/>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A6F5A"/>
    <w:rsid w:val="007B4C31"/>
    <w:rsid w:val="007C31B5"/>
    <w:rsid w:val="008D27EF"/>
    <w:rsid w:val="008F1609"/>
    <w:rsid w:val="008F465C"/>
    <w:rsid w:val="00910CB0"/>
    <w:rsid w:val="009259CF"/>
    <w:rsid w:val="009B627E"/>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B374B"/>
    <w:rsid w:val="00DD03C4"/>
    <w:rsid w:val="00DF0D6A"/>
    <w:rsid w:val="00DF1B4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D41620C-46C2-4F72-BAC3-13745569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9B627E"/>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942</Words>
  <Characters>5373</Characters>
  <DocSecurity>0</DocSecurity>
  <Lines>44</Lines>
  <Paragraphs>12</Paragraphs>
  <ScaleCrop>false</ScaleCrop>
  <HeadingPairs>
    <vt:vector size="2" baseType="variant">
      <vt:variant>
        <vt:lpstr>Title</vt:lpstr>
      </vt:variant>
      <vt:variant>
        <vt:i4>1</vt:i4>
      </vt:variant>
    </vt:vector>
  </HeadingPairs>
  <LinksUpToDate>false</LinksUpToDate>
  <CharactersWithSpaces>6303</CharactersWithSpaces>
  <SharedDoc>false</SharedDoc>
  <HyperlinksChanged>false</HyperlinksChanged>
</Properties>
</file>