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RECRUITMENT PROCESS CHECKLIST</w:t>
      </w:r>
    </w:p>
    <w:p>
      <w:pPr>
        <w:tabs>
          <w:tab w:val="left" w:pos="7437"/>
        </w:tabs>
        <w:spacing w:before="120" w:line="276" w:lineRule="auto"/>
        <w:jc w:val="both"/>
        <w:rPr>
          <w:rFonts w:ascii="Arial" w:hAnsi="Arial" w:cs="Arial"/>
          <w:b/>
          <w:bCs/>
          <w:sz w:val="22"/>
          <w:szCs w:val="22"/>
        </w:rPr>
      </w:pPr>
      <w:r>
        <w:rPr>
          <w:rFonts w:ascii="Arial" w:hAnsi="Arial" w:cs="Arial"/>
        </w:rPr>
        <w:t>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bookmarkStart w:id="0" w:name="_GoBack"/>
      <w:bookmarkEnd w:id="0"/>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rPr>
          <w:rFonts w:ascii="Arial" w:hAnsi="Arial" w:cs="Arial"/>
        </w:rPr>
      </w:pPr>
      <w:r>
        <w:rPr>
          <w:rFonts w:ascii="Arial" w:hAnsi="Arial" w:cs="Arial"/>
        </w:rPr>
        <w:t>Contacting the Victorian Chamber of Commerce and Industry</w:t>
      </w:r>
    </w:p>
    <w:p>
      <w:pPr>
        <w:pStyle w:val="DisclaimerHeading"/>
        <w:spacing w:line="276" w:lineRule="auto"/>
        <w:rPr>
          <w:rFonts w:ascii="Arial" w:hAnsi="Arial" w:cs="Arial"/>
          <w:b w:val="0"/>
          <w:sz w:val="20"/>
          <w:szCs w:val="20"/>
        </w:rPr>
      </w:pPr>
      <w:r>
        <w:rPr>
          <w:rFonts w:ascii="Arial" w:hAnsi="Arial" w:cs="Arial"/>
          <w:b w:val="0"/>
          <w:sz w:val="20"/>
          <w:szCs w:val="20"/>
        </w:rPr>
        <w:t xml:space="preserve">The Victorian Chamber’s team of experienced workplace relations advisors can assist members with a range of employment, human resources and industrial relations issues.  </w:t>
      </w:r>
    </w:p>
    <w:p>
      <w:pPr>
        <w:pStyle w:val="DisclaimerHeading"/>
        <w:spacing w:line="276" w:lineRule="auto"/>
        <w:rPr>
          <w:rFonts w:ascii="Arial" w:hAnsi="Arial" w:cs="Arial"/>
          <w:b w:val="0"/>
          <w:sz w:val="20"/>
          <w:szCs w:val="20"/>
        </w:rPr>
      </w:pPr>
      <w:r>
        <w:rPr>
          <w:rFonts w:ascii="Arial" w:hAnsi="Arial" w:cs="Arial"/>
          <w:b w:val="0"/>
          <w:sz w:val="20"/>
          <w:szCs w:val="20"/>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pPr>
        <w:pStyle w:val="DisclaimerHeading"/>
        <w:spacing w:line="276" w:lineRule="auto"/>
        <w:rPr>
          <w:rFonts w:ascii="Arial" w:hAnsi="Arial" w:cs="Arial"/>
        </w:rPr>
      </w:pPr>
      <w:r>
        <w:rPr>
          <w:rFonts w:ascii="Arial" w:hAnsi="Arial" w:cs="Arial"/>
          <w:b w:val="0"/>
          <w:sz w:val="20"/>
          <w:szCs w:val="20"/>
        </w:rPr>
        <w:t xml:space="preserve">For assistance or more information, please contact the Workplace Relations Advice Line on </w:t>
      </w:r>
      <w:r>
        <w:rPr>
          <w:rFonts w:ascii="Arial" w:hAnsi="Arial" w:cs="Arial"/>
          <w:sz w:val="20"/>
          <w:szCs w:val="20"/>
        </w:rPr>
        <w:t>(03) 8662 5222</w:t>
      </w:r>
      <w:r>
        <w:rPr>
          <w:rFonts w:ascii="Arial" w:hAnsi="Arial" w:cs="Arial"/>
          <w:sz w:val="20"/>
          <w:szCs w:val="20"/>
        </w:rPr>
        <w:t>.</w:t>
      </w:r>
    </w:p>
    <w:p>
      <w:pPr>
        <w:spacing w:after="0"/>
        <w:jc w:val="both"/>
        <w:rPr>
          <w:rFonts w:ascii="Arial" w:hAnsi="Arial" w:cs="Arial"/>
          <w:b/>
          <w:bCs/>
          <w:sz w:val="16"/>
          <w:szCs w:val="16"/>
        </w:rPr>
      </w:pPr>
      <w:r>
        <w:rPr>
          <w:rFonts w:ascii="Arial" w:hAnsi="Arial" w:cs="Arial"/>
          <w:b/>
          <w:bCs/>
          <w:sz w:val="16"/>
          <w:szCs w:val="16"/>
        </w:rPr>
        <w:t xml:space="preserve">Disclaimer </w:t>
      </w:r>
    </w:p>
    <w:p>
      <w:pPr>
        <w:spacing w:after="0"/>
        <w:jc w:val="both"/>
        <w:rPr>
          <w:rFonts w:ascii="Arial" w:hAnsi="Arial" w:cs="Arial"/>
          <w:sz w:val="16"/>
          <w:szCs w:val="16"/>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79"/>
      </w:tblGrid>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b/>
              </w:rPr>
              <w:lastRenderedPageBreak/>
              <w:t>Create a position description for the role</w:t>
            </w:r>
            <w:r>
              <w:rPr>
                <w:rFonts w:ascii="Arial" w:hAnsi="Arial" w:cs="Arial"/>
              </w:rPr>
              <w:t xml:space="preserve"> including position title, reporting relationships, key responsibilities and deliverables, location of work and skills/experience required (or key selection criteria). Ensure the salary or salary range is defined as part of this process. </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rPr>
              <w:t>Confirm the</w:t>
            </w:r>
            <w:r>
              <w:rPr>
                <w:rFonts w:ascii="Arial" w:hAnsi="Arial" w:cs="Arial"/>
                <w:b/>
              </w:rPr>
              <w:t xml:space="preserve"> recruitment process </w:t>
            </w:r>
            <w:r>
              <w:rPr>
                <w:rFonts w:ascii="Arial" w:hAnsi="Arial" w:cs="Arial"/>
              </w:rPr>
              <w:t>(i.e. agency or self-recruit? If self-recruit, continue through checklist).</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b/>
              </w:rPr>
              <w:t xml:space="preserve">Create an advertisement </w:t>
            </w:r>
            <w:r>
              <w:rPr>
                <w:rFonts w:ascii="Arial" w:hAnsi="Arial" w:cs="Arial"/>
              </w:rPr>
              <w:t xml:space="preserve">for the position (using the information from the position description). </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b/>
              </w:rPr>
              <w:t>Advertise –</w:t>
            </w:r>
            <w:r>
              <w:rPr>
                <w:rFonts w:ascii="Arial" w:hAnsi="Arial" w:cs="Arial"/>
              </w:rPr>
              <w:t xml:space="preserve"> Place advertisement in the most appropriate medium (company webpage, internet (e.g. Seek or Career One) and/or print (e.g. The Age or local paper). </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rPr>
            </w:pPr>
            <w:r>
              <w:rPr>
                <w:rFonts w:ascii="Arial" w:hAnsi="Arial" w:cs="Arial"/>
              </w:rPr>
              <w:t>Send acknowledgment letters to all candidates submitting applications.</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b/>
              </w:rPr>
              <w:t xml:space="preserve">Shortlist </w:t>
            </w:r>
            <w:r>
              <w:rPr>
                <w:rFonts w:ascii="Arial" w:hAnsi="Arial" w:cs="Arial"/>
              </w:rPr>
              <w:t>candidates against the defined key selection criteria (and relevant weightings of each criterion if applicable).</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b/>
              </w:rPr>
              <w:t xml:space="preserve">Arrange interviews </w:t>
            </w:r>
            <w:r>
              <w:rPr>
                <w:rFonts w:ascii="Arial" w:hAnsi="Arial" w:cs="Arial"/>
              </w:rPr>
              <w:t>with shortlisted candidates (this may involve initial telephone screening).</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rPr>
            </w:pPr>
            <w:r>
              <w:rPr>
                <w:rFonts w:ascii="Arial" w:hAnsi="Arial" w:cs="Arial"/>
              </w:rPr>
              <w:t>Further shortlist (or rate) the interviewed candidates against the key selection criteria. You may utilise a scoring scheme to assist with this process.</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rPr>
              <w:t>Send</w:t>
            </w:r>
            <w:r>
              <w:rPr>
                <w:rFonts w:ascii="Arial" w:hAnsi="Arial" w:cs="Arial"/>
                <w:b/>
              </w:rPr>
              <w:t xml:space="preserve"> unsuccessful notification </w:t>
            </w:r>
            <w:r>
              <w:rPr>
                <w:rFonts w:ascii="Arial" w:hAnsi="Arial" w:cs="Arial"/>
              </w:rPr>
              <w:t>to non-shortlisted candidates.</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b/>
              </w:rPr>
              <w:t xml:space="preserve">Reference check </w:t>
            </w:r>
            <w:r>
              <w:rPr>
                <w:rFonts w:ascii="Arial" w:hAnsi="Arial" w:cs="Arial"/>
              </w:rPr>
              <w:t>shortlisted candidates (or you may prefer to complete reference checks at the completion of second round interviews). You may ask the candidate to complete a consent form for their referees – refer to the VECCI template ‘Referee Authority Form’.</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rPr>
          <w:trHeight w:val="369"/>
        </w:trP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rPr>
              <w:t>If deemed appropriate, the recruitment process may also include additional assessments or checks (e.g. skills testing, police and background checks).</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rPr>
          <w:trHeight w:val="587"/>
        </w:trPr>
        <w:tc>
          <w:tcPr>
            <w:tcW w:w="7763"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r>
              <w:rPr>
                <w:rFonts w:ascii="Arial" w:hAnsi="Arial" w:cs="Arial"/>
              </w:rPr>
              <w:t>Ensure that the candidate is authorised to work in Australia – you should collect relevant evidence.</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rPr>
          <w:trHeight w:val="66"/>
        </w:trP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b/>
              </w:rPr>
              <w:t xml:space="preserve">Arrange second interviews </w:t>
            </w:r>
            <w:r>
              <w:rPr>
                <w:rFonts w:ascii="Arial" w:hAnsi="Arial" w:cs="Arial"/>
              </w:rPr>
              <w:t>if required.</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rPr>
            </w:pPr>
            <w:r>
              <w:rPr>
                <w:rFonts w:ascii="Arial" w:hAnsi="Arial" w:cs="Arial"/>
              </w:rPr>
              <w:t xml:space="preserve">Make </w:t>
            </w:r>
            <w:r>
              <w:rPr>
                <w:rFonts w:ascii="Arial" w:hAnsi="Arial" w:cs="Arial"/>
                <w:b/>
              </w:rPr>
              <w:t>offer of employment</w:t>
            </w:r>
            <w:r>
              <w:rPr>
                <w:rFonts w:ascii="Arial" w:hAnsi="Arial" w:cs="Arial"/>
              </w:rPr>
              <w:t xml:space="preserve"> to the successful candidate and send out a letter of offer and employment contract. Ensure that you include a Fair Work Information Statement as part of this new starter paperwork pack.</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b/>
              </w:rPr>
            </w:pPr>
            <w:r>
              <w:rPr>
                <w:rFonts w:ascii="Arial" w:hAnsi="Arial" w:cs="Arial"/>
              </w:rPr>
              <w:t>Send</w:t>
            </w:r>
            <w:r>
              <w:rPr>
                <w:rFonts w:ascii="Arial" w:hAnsi="Arial" w:cs="Arial"/>
                <w:b/>
              </w:rPr>
              <w:t xml:space="preserve"> unsuccessful notification </w:t>
            </w:r>
            <w:r>
              <w:rPr>
                <w:rFonts w:ascii="Arial" w:hAnsi="Arial" w:cs="Arial"/>
              </w:rPr>
              <w:t xml:space="preserve">to unsuccessful interviewed candidates. Best practice is to telephone interviewed candidates and </w:t>
            </w:r>
            <w:proofErr w:type="gramStart"/>
            <w:r>
              <w:rPr>
                <w:rFonts w:ascii="Arial" w:hAnsi="Arial" w:cs="Arial"/>
              </w:rPr>
              <w:t>advise</w:t>
            </w:r>
            <w:proofErr w:type="gramEnd"/>
            <w:r>
              <w:rPr>
                <w:rFonts w:ascii="Arial" w:hAnsi="Arial" w:cs="Arial"/>
              </w:rPr>
              <w:t xml:space="preserve"> them verbally, followed up with a letter.</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rPr>
            </w:pPr>
            <w:r>
              <w:rPr>
                <w:rFonts w:ascii="Arial" w:hAnsi="Arial" w:cs="Arial"/>
              </w:rPr>
              <w:t>For the successful candidate, any documents created (CVs, interview notes and reference checks) will form part of the employee’s personnel file.</w:t>
            </w:r>
          </w:p>
          <w:p>
            <w:pPr>
              <w:pStyle w:val="BodyText"/>
              <w:spacing w:before="60" w:after="60"/>
              <w:jc w:val="both"/>
              <w:rPr>
                <w:rFonts w:ascii="Arial" w:hAnsi="Arial" w:cs="Arial"/>
                <w:b/>
              </w:rPr>
            </w:pPr>
            <w:bookmarkStart w:id="1" w:name="Paragraph_75"/>
            <w:r>
              <w:rPr>
                <w:rFonts w:ascii="Arial" w:hAnsi="Arial" w:cs="Arial"/>
                <w:b/>
              </w:rPr>
              <w:t>Any personal information gathered about applicants (that does not become an employee record) should be destroyed at the conclusion of the selection process, unless the permission or consent of the candidate has been obtained to keep any such information.</w:t>
            </w:r>
            <w:bookmarkEnd w:id="1"/>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r>
        <w:trPr>
          <w:trHeight w:val="416"/>
        </w:trPr>
        <w:tc>
          <w:tcPr>
            <w:tcW w:w="7763" w:type="dxa"/>
            <w:tcBorders>
              <w:top w:val="single" w:sz="4" w:space="0" w:color="auto"/>
              <w:left w:val="single" w:sz="4" w:space="0" w:color="auto"/>
              <w:bottom w:val="single" w:sz="4" w:space="0" w:color="auto"/>
              <w:right w:val="single" w:sz="4" w:space="0" w:color="auto"/>
            </w:tcBorders>
            <w:hideMark/>
          </w:tcPr>
          <w:p>
            <w:pPr>
              <w:spacing w:before="60" w:after="60"/>
              <w:jc w:val="both"/>
              <w:rPr>
                <w:rFonts w:ascii="Arial" w:hAnsi="Arial" w:cs="Arial"/>
              </w:rPr>
            </w:pPr>
            <w:r>
              <w:rPr>
                <w:rFonts w:ascii="Arial" w:hAnsi="Arial" w:cs="Arial"/>
              </w:rPr>
              <w:t>Ensure a structured induction program is prepared for the new starter (refer to the Victorian Chamber of Commerce and Industry template ‘Induction Checklist’).</w:t>
            </w:r>
          </w:p>
        </w:tc>
        <w:tc>
          <w:tcPr>
            <w:tcW w:w="1479" w:type="dxa"/>
            <w:tcBorders>
              <w:top w:val="single" w:sz="4" w:space="0" w:color="auto"/>
              <w:left w:val="single" w:sz="4" w:space="0" w:color="auto"/>
              <w:bottom w:val="single" w:sz="4" w:space="0" w:color="auto"/>
              <w:right w:val="single" w:sz="4" w:space="0" w:color="auto"/>
            </w:tcBorders>
          </w:tcPr>
          <w:p>
            <w:pPr>
              <w:spacing w:before="60" w:after="60"/>
              <w:jc w:val="both"/>
              <w:rPr>
                <w:rFonts w:ascii="Arial" w:hAnsi="Arial" w:cs="Arial"/>
              </w:rPr>
            </w:pPr>
          </w:p>
        </w:tc>
      </w:tr>
    </w:tbl>
    <w:p>
      <w:pPr>
        <w:tabs>
          <w:tab w:val="right" w:leader="underscore" w:pos="9519"/>
        </w:tabs>
        <w:spacing w:before="60"/>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R</w:t>
    </w:r>
    <w:r>
      <w:rPr>
        <w:sz w:val="16"/>
        <w:szCs w:val="16"/>
      </w:rPr>
      <w:t>ecruitment Process Checklist V1 01/</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1F2E3854" wp14:editId="4B33BD7D">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1"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5"/>
  </w:num>
  <w:num w:numId="3">
    <w:abstractNumId w:val="7"/>
  </w:num>
  <w:num w:numId="4">
    <w:abstractNumId w:val="0"/>
  </w:num>
  <w:num w:numId="5">
    <w:abstractNumId w:val="1"/>
  </w:num>
  <w:num w:numId="6">
    <w:abstractNumId w:val="2"/>
  </w:num>
  <w:num w:numId="7">
    <w:abstractNumId w:val="4"/>
  </w:num>
  <w:num w:numId="8">
    <w:abstractNumId w:val="10"/>
  </w:num>
  <w:num w:numId="9">
    <w:abstractNumId w:val="9"/>
  </w:num>
  <w:num w:numId="10">
    <w:abstractNumId w:val="3"/>
  </w:num>
  <w:num w:numId="11">
    <w:abstractNumId w:val="6"/>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F1"/>
    <w:rsid w:val="00003826"/>
    <w:rsid w:val="000669ED"/>
    <w:rsid w:val="00080BA6"/>
    <w:rsid w:val="00084220"/>
    <w:rsid w:val="000A62DE"/>
    <w:rsid w:val="000B191E"/>
    <w:rsid w:val="000C19C0"/>
    <w:rsid w:val="000C5304"/>
    <w:rsid w:val="000C6A20"/>
    <w:rsid w:val="001905B2"/>
    <w:rsid w:val="00191FC7"/>
    <w:rsid w:val="001E72B8"/>
    <w:rsid w:val="002633C4"/>
    <w:rsid w:val="00287732"/>
    <w:rsid w:val="002D72F9"/>
    <w:rsid w:val="0031626B"/>
    <w:rsid w:val="003251D1"/>
    <w:rsid w:val="00334FBD"/>
    <w:rsid w:val="00375E41"/>
    <w:rsid w:val="003A7EA8"/>
    <w:rsid w:val="003C0902"/>
    <w:rsid w:val="003C3D7F"/>
    <w:rsid w:val="003E61F8"/>
    <w:rsid w:val="00406C7E"/>
    <w:rsid w:val="0041340C"/>
    <w:rsid w:val="00436A8F"/>
    <w:rsid w:val="00494E3B"/>
    <w:rsid w:val="004B1867"/>
    <w:rsid w:val="00512AE1"/>
    <w:rsid w:val="0052159D"/>
    <w:rsid w:val="00554C2C"/>
    <w:rsid w:val="00556A41"/>
    <w:rsid w:val="005642B3"/>
    <w:rsid w:val="005A5261"/>
    <w:rsid w:val="005F51D6"/>
    <w:rsid w:val="0060282D"/>
    <w:rsid w:val="00613ED1"/>
    <w:rsid w:val="006439BD"/>
    <w:rsid w:val="00652018"/>
    <w:rsid w:val="0067244D"/>
    <w:rsid w:val="00677809"/>
    <w:rsid w:val="00680DC2"/>
    <w:rsid w:val="006A08F1"/>
    <w:rsid w:val="006B2860"/>
    <w:rsid w:val="006F09D0"/>
    <w:rsid w:val="006F1EA9"/>
    <w:rsid w:val="00742D4F"/>
    <w:rsid w:val="00746876"/>
    <w:rsid w:val="00757841"/>
    <w:rsid w:val="0076406F"/>
    <w:rsid w:val="0077449D"/>
    <w:rsid w:val="007749B6"/>
    <w:rsid w:val="0077722F"/>
    <w:rsid w:val="007B4C31"/>
    <w:rsid w:val="007B4EA6"/>
    <w:rsid w:val="007C31B5"/>
    <w:rsid w:val="00843C7A"/>
    <w:rsid w:val="008D27EF"/>
    <w:rsid w:val="008F1609"/>
    <w:rsid w:val="00910CB0"/>
    <w:rsid w:val="009259CF"/>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87F52"/>
    <w:rsid w:val="00C90EB9"/>
    <w:rsid w:val="00CA70AC"/>
    <w:rsid w:val="00CB605F"/>
    <w:rsid w:val="00CB661F"/>
    <w:rsid w:val="00CF723E"/>
    <w:rsid w:val="00CF76F8"/>
    <w:rsid w:val="00D04CA5"/>
    <w:rsid w:val="00D2257D"/>
    <w:rsid w:val="00D317C8"/>
    <w:rsid w:val="00D34A70"/>
    <w:rsid w:val="00D51F4C"/>
    <w:rsid w:val="00D84524"/>
    <w:rsid w:val="00DD03C4"/>
    <w:rsid w:val="00DE7F63"/>
    <w:rsid w:val="00DF0D6A"/>
    <w:rsid w:val="00DF1B43"/>
    <w:rsid w:val="00E00AA3"/>
    <w:rsid w:val="00E56C55"/>
    <w:rsid w:val="00E954E9"/>
    <w:rsid w:val="00ED1E27"/>
    <w:rsid w:val="00F24959"/>
    <w:rsid w:val="00F2697E"/>
    <w:rsid w:val="00F33E8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E0296BF-68AE-4243-830F-AAC5B005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759</Words>
  <Characters>4332</Characters>
  <DocSecurity>0</DocSecurity>
  <Lines>36</Lines>
  <Paragraphs>10</Paragraphs>
  <ScaleCrop>false</ScaleCrop>
  <HeadingPairs>
    <vt:vector size="2" baseType="variant">
      <vt:variant>
        <vt:lpstr>Title</vt:lpstr>
      </vt:variant>
      <vt:variant>
        <vt:i4>1</vt:i4>
      </vt:variant>
    </vt:vector>
  </HeadingPairs>
  <LinksUpToDate>false</LinksUpToDate>
  <CharactersWithSpaces>5081</CharactersWithSpaces>
  <SharedDoc>false</SharedDoc>
  <HyperlinksChanged>false</HyperlinksChanged>
</Properties>
</file>