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DRESS CODE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will assist member businesses develop their own workplace policy. The following information should be used as a guide only. Any </w:t>
      </w:r>
      <w:bookmarkStart w:id="0" w:name="_GoBack"/>
      <w:bookmarkEnd w:id="0"/>
      <w:r>
        <w:rPr>
          <w:rFonts w:ascii="Arial" w:hAnsi="Arial" w:cs="Arial"/>
        </w:rPr>
        <w:t xml:space="preserve">wording changes, other than those to insert a business name, may change the context, meaning or purpose of the policy and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line="276" w:lineRule="auto"/>
        <w:jc w:val="both"/>
        <w:rPr>
          <w:rFonts w:ascii="Arial" w:hAnsi="Arial" w:cs="Arial"/>
          <w:b/>
          <w:bCs/>
          <w:sz w:val="16"/>
          <w:szCs w:val="16"/>
        </w:rPr>
      </w:pPr>
      <w:r>
        <w:rPr>
          <w:rFonts w:ascii="Arial" w:hAnsi="Arial" w:cs="Arial"/>
          <w:b/>
          <w:bCs/>
          <w:sz w:val="16"/>
          <w:szCs w:val="16"/>
        </w:rPr>
        <w:t xml:space="preserve">Disclaimer </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DRESS CODE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Cs w:val="20"/>
        </w:rPr>
      </w:pPr>
    </w:p>
    <w:p>
      <w:pPr>
        <w:pStyle w:val="Heading1"/>
        <w:spacing w:line="276" w:lineRule="auto"/>
        <w:rPr>
          <w:rFonts w:ascii="Arial" w:hAnsi="Arial" w:cs="Arial"/>
          <w:b w:val="0"/>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establish guidelines for employees’ dress and appearance. </w:t>
      </w:r>
    </w:p>
    <w:p>
      <w:pPr>
        <w:tabs>
          <w:tab w:val="left" w:pos="2340"/>
        </w:tabs>
        <w:spacing w:before="120" w:line="276" w:lineRule="auto"/>
        <w:jc w:val="both"/>
        <w:rPr>
          <w:rFonts w:ascii="Arial" w:hAnsi="Arial" w:cs="Arial"/>
          <w:b/>
          <w:bCs/>
          <w:lang w:val="en-GB"/>
        </w:rPr>
      </w:pPr>
      <w:r>
        <w:rPr>
          <w:rFonts w:ascii="Arial" w:hAnsi="Arial" w:cs="Arial"/>
          <w:b/>
          <w:bCs/>
          <w:lang w:val="en-GB"/>
        </w:rPr>
        <w:tab/>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bCs/>
          <w:lang w:val="en-GB"/>
        </w:rPr>
      </w:pPr>
      <w:r>
        <w:rPr>
          <w:rFonts w:ascii="Arial" w:hAnsi="Arial" w:cs="Arial"/>
          <w:bCs/>
          <w:lang w:val="en-GB"/>
        </w:rPr>
        <w:t xml:space="preserve">This policy applies to all employees of </w:t>
      </w:r>
      <w:r>
        <w:rPr>
          <w:rFonts w:ascii="Arial" w:hAnsi="Arial" w:cs="Arial"/>
          <w:b/>
          <w:bCs/>
        </w:rPr>
        <w:t>[INSERT COMPANY NAME]</w:t>
      </w:r>
      <w:r>
        <w:rPr>
          <w:rFonts w:ascii="Arial" w:hAnsi="Arial" w:cs="Arial"/>
          <w:bCs/>
          <w:lang w:val="en-GB"/>
        </w:rPr>
        <w:t xml:space="preserve"> during working hours. </w:t>
      </w:r>
    </w:p>
    <w:p>
      <w:pPr>
        <w:pStyle w:val="Heading2"/>
        <w:spacing w:line="276" w:lineRule="auto"/>
        <w:rPr>
          <w:rFonts w:ascii="Arial" w:hAnsi="Arial" w:cs="Arial"/>
          <w:lang w:val="en-GB"/>
        </w:rPr>
      </w:pP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t>POLICY</w:t>
      </w:r>
      <w:r>
        <w:rPr>
          <w:rFonts w:ascii="Arial" w:hAnsi="Arial" w:cs="Arial"/>
          <w:lang w:val="en-GB"/>
        </w:rPr>
        <w:tab/>
      </w:r>
    </w:p>
    <w:p>
      <w:pPr>
        <w:spacing w:before="120" w:line="276" w:lineRule="auto"/>
        <w:jc w:val="both"/>
        <w:rPr>
          <w:rFonts w:ascii="Arial" w:hAnsi="Arial" w:cs="Arial"/>
          <w:bCs/>
        </w:rPr>
      </w:pPr>
      <w:r>
        <w:rPr>
          <w:rFonts w:ascii="Arial" w:hAnsi="Arial" w:cs="Arial"/>
          <w:bCs/>
        </w:rPr>
        <w:t>The following dress code applies to all employees:</w:t>
      </w:r>
    </w:p>
    <w:p>
      <w:pPr>
        <w:numPr>
          <w:ilvl w:val="0"/>
          <w:numId w:val="14"/>
        </w:numPr>
        <w:suppressAutoHyphens w:val="0"/>
        <w:spacing w:before="120" w:line="276" w:lineRule="auto"/>
        <w:jc w:val="both"/>
        <w:rPr>
          <w:rFonts w:ascii="Arial" w:hAnsi="Arial" w:cs="Arial"/>
          <w:bCs/>
        </w:rPr>
      </w:pPr>
      <w:r>
        <w:rPr>
          <w:rFonts w:ascii="Arial" w:hAnsi="Arial" w:cs="Arial"/>
          <w:bCs/>
        </w:rPr>
        <w:t>A moderate number and type of earrings are acceptable;</w:t>
      </w:r>
    </w:p>
    <w:p>
      <w:pPr>
        <w:numPr>
          <w:ilvl w:val="0"/>
          <w:numId w:val="14"/>
        </w:numPr>
        <w:suppressAutoHyphens w:val="0"/>
        <w:spacing w:before="120" w:line="276" w:lineRule="auto"/>
        <w:jc w:val="both"/>
        <w:rPr>
          <w:rFonts w:ascii="Arial" w:hAnsi="Arial" w:cs="Arial"/>
          <w:bCs/>
        </w:rPr>
      </w:pPr>
      <w:r>
        <w:rPr>
          <w:rFonts w:ascii="Arial" w:hAnsi="Arial" w:cs="Arial"/>
          <w:bCs/>
        </w:rPr>
        <w:t>Employees are not to wear any facial ornaments or show any body piercing or tattoos which are likely to disturb or cause offence to our members, customers or clients; and</w:t>
      </w:r>
    </w:p>
    <w:p>
      <w:pPr>
        <w:numPr>
          <w:ilvl w:val="0"/>
          <w:numId w:val="14"/>
        </w:numPr>
        <w:suppressAutoHyphens w:val="0"/>
        <w:spacing w:before="120" w:line="276" w:lineRule="auto"/>
        <w:jc w:val="both"/>
        <w:rPr>
          <w:rFonts w:ascii="Arial" w:hAnsi="Arial" w:cs="Arial"/>
          <w:bCs/>
        </w:rPr>
      </w:pPr>
      <w:r>
        <w:rPr>
          <w:rFonts w:ascii="Arial" w:hAnsi="Arial" w:cs="Arial"/>
          <w:bCs/>
        </w:rPr>
        <w:t>Employees are required to maintain an appropriate haircut and level of personal hygiene.</w:t>
      </w:r>
    </w:p>
    <w:p>
      <w:pPr>
        <w:numPr>
          <w:ilvl w:val="0"/>
          <w:numId w:val="14"/>
        </w:numPr>
        <w:suppressAutoHyphens w:val="0"/>
        <w:spacing w:before="120" w:line="276" w:lineRule="auto"/>
        <w:jc w:val="both"/>
        <w:rPr>
          <w:rFonts w:ascii="Arial" w:hAnsi="Arial" w:cs="Arial"/>
          <w:bCs/>
        </w:rPr>
      </w:pPr>
      <w:r>
        <w:rPr>
          <w:rFonts w:ascii="Arial" w:hAnsi="Arial" w:cs="Arial"/>
          <w:bCs/>
        </w:rPr>
        <w:t xml:space="preserve">All employees are required to wear suitable office attire and maintain an appropriate tidy and professional appearance in the workplace. </w:t>
      </w:r>
    </w:p>
    <w:p>
      <w:pPr>
        <w:numPr>
          <w:ilvl w:val="1"/>
          <w:numId w:val="14"/>
        </w:numPr>
        <w:suppressAutoHyphens w:val="0"/>
        <w:spacing w:before="120" w:line="276" w:lineRule="auto"/>
        <w:jc w:val="both"/>
        <w:rPr>
          <w:rFonts w:ascii="Arial" w:hAnsi="Arial" w:cs="Arial"/>
          <w:bCs/>
        </w:rPr>
      </w:pPr>
      <w:r>
        <w:rPr>
          <w:rFonts w:ascii="Arial" w:hAnsi="Arial" w:cs="Arial"/>
          <w:b/>
          <w:bCs/>
        </w:rPr>
        <w:t>Suitable office attire</w:t>
      </w:r>
      <w:r>
        <w:rPr>
          <w:rFonts w:ascii="Arial" w:hAnsi="Arial" w:cs="Arial"/>
          <w:bCs/>
        </w:rPr>
        <w:t xml:space="preserve"> includes standard business style garments which may include tailored suits, dress pants, skirts or dresses and smart shirts, cardigans, vests or tops. Clean dress or leather footwear should be worn. </w:t>
      </w:r>
    </w:p>
    <w:p>
      <w:pPr>
        <w:pStyle w:val="ListParagraph"/>
        <w:numPr>
          <w:ilvl w:val="1"/>
          <w:numId w:val="14"/>
        </w:numPr>
        <w:suppressAutoHyphens w:val="0"/>
        <w:spacing w:before="120" w:line="276" w:lineRule="auto"/>
        <w:jc w:val="both"/>
        <w:rPr>
          <w:rFonts w:ascii="Arial" w:hAnsi="Arial" w:cs="Arial"/>
          <w:bCs/>
        </w:rPr>
      </w:pPr>
      <w:r>
        <w:rPr>
          <w:rFonts w:ascii="Arial" w:hAnsi="Arial" w:cs="Arial"/>
          <w:bCs/>
        </w:rPr>
        <w:t xml:space="preserve">Examples of </w:t>
      </w:r>
      <w:r>
        <w:rPr>
          <w:rFonts w:ascii="Arial" w:hAnsi="Arial" w:cs="Arial"/>
          <w:b/>
          <w:bCs/>
        </w:rPr>
        <w:t>unsuitable office attire</w:t>
      </w:r>
      <w:r>
        <w:rPr>
          <w:rFonts w:ascii="Arial" w:hAnsi="Arial" w:cs="Arial"/>
          <w:bCs/>
        </w:rPr>
        <w:t xml:space="preserve"> include denim, t-shirts, trainers, casual jumpers, sweaters, pants and shorts, and ripped, torn or excessively sheer or revealing garments.</w:t>
      </w:r>
    </w:p>
    <w:p>
      <w:pPr>
        <w:spacing w:before="120" w:line="276" w:lineRule="auto"/>
        <w:jc w:val="both"/>
        <w:rPr>
          <w:rFonts w:ascii="Arial" w:hAnsi="Arial" w:cs="Arial"/>
          <w:bCs/>
        </w:rPr>
      </w:pPr>
    </w:p>
    <w:p>
      <w:pPr>
        <w:pStyle w:val="Heading2"/>
        <w:spacing w:line="276" w:lineRule="auto"/>
        <w:rPr>
          <w:rFonts w:ascii="Arial" w:hAnsi="Arial" w:cs="Arial"/>
          <w:lang w:val="en-GB"/>
        </w:rPr>
      </w:pPr>
      <w:r>
        <w:rPr>
          <w:rFonts w:ascii="Arial" w:hAnsi="Arial" w:cs="Arial"/>
          <w:lang w:val="en-GB"/>
        </w:rPr>
        <w:t>4</w:t>
      </w:r>
      <w:r>
        <w:rPr>
          <w:rFonts w:ascii="Arial" w:hAnsi="Arial" w:cs="Arial"/>
          <w:lang w:val="en-GB"/>
        </w:rPr>
        <w:tab/>
        <w:t xml:space="preserve">EQUAL OPPORTUNITY CONSIDERATIONS </w:t>
      </w:r>
    </w:p>
    <w:p>
      <w:pPr>
        <w:spacing w:line="276" w:lineRule="auto"/>
        <w:rPr>
          <w:rFonts w:ascii="Arial" w:hAnsi="Arial" w:cs="Arial"/>
          <w:bCs/>
        </w:rPr>
      </w:pPr>
      <w:r>
        <w:rPr>
          <w:rFonts w:ascii="Arial" w:hAnsi="Arial" w:cs="Arial"/>
          <w:bCs/>
        </w:rPr>
        <w:t xml:space="preserve">In applying this policy, </w:t>
      </w:r>
      <w:r>
        <w:rPr>
          <w:rFonts w:ascii="Arial" w:hAnsi="Arial" w:cs="Arial"/>
          <w:b/>
          <w:lang w:eastAsia="en-US"/>
        </w:rPr>
        <w:t xml:space="preserve">[INSERT COMPANY NAME] </w:t>
      </w:r>
      <w:r>
        <w:rPr>
          <w:rFonts w:ascii="Arial" w:hAnsi="Arial" w:cs="Arial"/>
          <w:bCs/>
        </w:rPr>
        <w:t xml:space="preserve">will have regard to Equal Opportunity legislation. </w:t>
      </w:r>
    </w:p>
    <w:p>
      <w:pPr>
        <w:spacing w:line="276" w:lineRule="auto"/>
        <w:rPr>
          <w:rFonts w:ascii="Arial" w:hAnsi="Arial" w:cs="Arial"/>
          <w:bCs/>
        </w:rPr>
      </w:pPr>
      <w:r>
        <w:rPr>
          <w:rFonts w:ascii="Arial" w:hAnsi="Arial" w:cs="Arial"/>
          <w:b/>
          <w:lang w:eastAsia="en-US"/>
        </w:rPr>
        <w:t>[INSERT COMPANY NAME]</w:t>
      </w:r>
      <w:r>
        <w:rPr>
          <w:rFonts w:ascii="Arial" w:hAnsi="Arial" w:cs="Arial"/>
          <w:bCs/>
        </w:rPr>
        <w:t xml:space="preserve"> will not discriminate against an employee on the basis of the following attributes: age, disability, race, physical features, religious belief or activity, sex and pregnancy. </w:t>
      </w:r>
    </w:p>
    <w:p>
      <w:pPr>
        <w:spacing w:line="276" w:lineRule="auto"/>
        <w:rPr>
          <w:rFonts w:ascii="Arial" w:hAnsi="Arial" w:cs="Arial"/>
          <w:bCs/>
        </w:rPr>
      </w:pPr>
      <w:r>
        <w:rPr>
          <w:rFonts w:ascii="Arial" w:hAnsi="Arial" w:cs="Arial"/>
          <w:bCs/>
        </w:rPr>
        <w:t xml:space="preserve">Physical features or bodily characteristics do not cover aspects of a person’s appearance over which the person has control or which were voluntarily acquired. </w:t>
      </w:r>
    </w:p>
    <w:p>
      <w:pPr>
        <w:pStyle w:val="Heading2"/>
        <w:spacing w:line="276" w:lineRule="auto"/>
        <w:rPr>
          <w:rFonts w:ascii="Arial" w:hAnsi="Arial" w:cs="Arial"/>
        </w:rPr>
      </w:pPr>
      <w:r>
        <w:rPr>
          <w:rFonts w:ascii="Arial" w:hAnsi="Arial" w:cs="Arial"/>
          <w:lang w:val="en-GB"/>
        </w:rPr>
        <w:t>5</w:t>
      </w:r>
      <w:r>
        <w:rPr>
          <w:rFonts w:ascii="Arial" w:hAnsi="Arial" w:cs="Arial"/>
          <w:lang w:val="en-GB"/>
        </w:rPr>
        <w:tab/>
        <w:t>POLICY REVIEW</w:t>
      </w:r>
    </w:p>
    <w:p>
      <w:pPr>
        <w:spacing w:line="276" w:lineRule="auto"/>
        <w:rPr>
          <w:rFonts w:ascii="Arial" w:hAnsi="Arial" w:cs="Arial"/>
          <w:b/>
          <w:bCs/>
          <w:lang w:val="en-GB"/>
        </w:rPr>
      </w:pPr>
      <w:r>
        <w:rPr>
          <w:rFonts w:ascii="Arial" w:hAnsi="Arial" w:cs="Arial"/>
          <w:b/>
          <w:lang w:eastAsia="en-US"/>
        </w:rPr>
        <w:t xml:space="preserve">[INSERT COMPANY NAME] </w:t>
      </w:r>
      <w:r>
        <w:rPr>
          <w:rFonts w:ascii="Arial" w:hAnsi="Arial" w:cs="Arial"/>
          <w:bCs/>
          <w:lang w:val="en-GB"/>
        </w:rPr>
        <w:t>may make changes to this policy from time to time to improve the effectiveness of its operation.</w:t>
      </w:r>
      <w:r>
        <w:rPr>
          <w:rFonts w:ascii="Arial" w:hAnsi="Arial" w:cs="Arial"/>
          <w:b/>
          <w:bCs/>
          <w:lang w:val="en-GB"/>
        </w:rPr>
        <w:t xml:space="preserve"> </w:t>
      </w:r>
    </w:p>
    <w:p>
      <w:pPr>
        <w:pStyle w:val="BodyText"/>
        <w:spacing w:line="276" w:lineRule="auto"/>
        <w:rPr>
          <w:rFonts w:ascii="Arial" w:hAnsi="Arial" w:cs="Arial"/>
        </w:rPr>
      </w:pPr>
      <w:r>
        <w:rPr>
          <w:rFonts w:ascii="Arial" w:hAnsi="Arial" w:cs="Arial"/>
        </w:rPr>
        <w:tab/>
      </w:r>
    </w:p>
    <w:p>
      <w:pPr>
        <w:pStyle w:val="BodyText"/>
        <w:spacing w:line="276" w:lineRule="auto"/>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Dress Code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F280686" wp14:editId="6D8F2283">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147FB4"/>
    <w:multiLevelType w:val="hybridMultilevel"/>
    <w:tmpl w:val="4D309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9937B9"/>
    <w:multiLevelType w:val="hybridMultilevel"/>
    <w:tmpl w:val="EA9E4054"/>
    <w:lvl w:ilvl="0" w:tplc="BE0EC8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5"/>
  </w:num>
  <w:num w:numId="8">
    <w:abstractNumId w:val="12"/>
  </w:num>
  <w:num w:numId="9">
    <w:abstractNumId w:val="11"/>
  </w:num>
  <w:num w:numId="10">
    <w:abstractNumId w:val="4"/>
  </w:num>
  <w:num w:numId="11">
    <w:abstractNumId w:val="8"/>
  </w:num>
  <w:num w:numId="12">
    <w:abstractNumId w:val="13"/>
  </w:num>
  <w:num w:numId="13">
    <w:abstractNumId w:val="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27"/>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6C7E"/>
    <w:rsid w:val="0041340C"/>
    <w:rsid w:val="00436A8F"/>
    <w:rsid w:val="0046625D"/>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8281E"/>
    <w:rsid w:val="007B4C31"/>
    <w:rsid w:val="007C31B5"/>
    <w:rsid w:val="008D27EF"/>
    <w:rsid w:val="008F1609"/>
    <w:rsid w:val="008F465C"/>
    <w:rsid w:val="00910CB0"/>
    <w:rsid w:val="009259CF"/>
    <w:rsid w:val="00964571"/>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B2D27"/>
    <w:rsid w:val="00BC7B8D"/>
    <w:rsid w:val="00C11880"/>
    <w:rsid w:val="00C234B3"/>
    <w:rsid w:val="00C4237F"/>
    <w:rsid w:val="00C87F52"/>
    <w:rsid w:val="00C90EB9"/>
    <w:rsid w:val="00C94925"/>
    <w:rsid w:val="00CA70AC"/>
    <w:rsid w:val="00CB661F"/>
    <w:rsid w:val="00CF723E"/>
    <w:rsid w:val="00CF76F8"/>
    <w:rsid w:val="00D04CA5"/>
    <w:rsid w:val="00D04CCD"/>
    <w:rsid w:val="00D2257D"/>
    <w:rsid w:val="00D317C8"/>
    <w:rsid w:val="00D34A70"/>
    <w:rsid w:val="00D4139B"/>
    <w:rsid w:val="00D50922"/>
    <w:rsid w:val="00D51F4C"/>
    <w:rsid w:val="00D84524"/>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98AF23D-5B38-4458-B644-505423AD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BB2D27"/>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677</Words>
  <Characters>3859</Characters>
  <DocSecurity>0</DocSecurity>
  <Lines>32</Lines>
  <Paragraphs>9</Paragraphs>
  <ScaleCrop>false</ScaleCrop>
  <HeadingPairs>
    <vt:vector size="2" baseType="variant">
      <vt:variant>
        <vt:lpstr>Title</vt:lpstr>
      </vt:variant>
      <vt:variant>
        <vt:i4>1</vt:i4>
      </vt:variant>
    </vt:vector>
  </HeadingPairs>
  <LinksUpToDate>false</LinksUpToDate>
  <CharactersWithSpaces>4527</CharactersWithSpaces>
  <SharedDoc>false</SharedDoc>
  <HyperlinksChanged>false</HyperlinksChanged>
</Properties>
</file>