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PAYMENT OF SALARIES AND WAGES CHECKLIST</w:t>
      </w:r>
    </w:p>
    <w:p>
      <w:pPr>
        <w:tabs>
          <w:tab w:val="left" w:pos="7437"/>
        </w:tabs>
        <w:spacing w:before="120" w:line="276" w:lineRule="auto"/>
        <w:jc w:val="both"/>
        <w:rPr>
          <w:rFonts w:ascii="Arial" w:hAnsi="Arial" w:cs="Arial"/>
          <w:b/>
          <w:bCs/>
          <w:sz w:val="22"/>
          <w:szCs w:val="22"/>
        </w:rPr>
      </w:pPr>
      <w:r>
        <w:rPr>
          <w:rFonts w:ascii="Arial" w:hAnsi="Arial" w:cs="Arial"/>
        </w:rPr>
        <w:t xml:space="preserve">This template checklist is intended to assist member businesses develop their own workplace checklist.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lang w:val="en-GB"/>
        </w:rPr>
      </w:pPr>
      <w:r>
        <w:rPr>
          <w:rFonts w:ascii="Arial" w:hAnsi="Arial" w:cs="Arial"/>
        </w:rPr>
        <w:lastRenderedPageBreak/>
        <w:t>PAYMENT OF SALARIES AND WAGES CHECKLIST</w:t>
      </w:r>
    </w:p>
    <w:p>
      <w:pPr>
        <w:pStyle w:val="NoSpacing"/>
        <w:shd w:val="clear" w:color="auto" w:fill="FFFFFF" w:themeFill="background1"/>
        <w:jc w:val="both"/>
        <w:rPr>
          <w:rFonts w:ascii="Arial" w:hAnsi="Arial" w:cs="Arial"/>
          <w:sz w:val="22"/>
        </w:rPr>
      </w:pP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8319"/>
        <w:gridCol w:w="1474"/>
      </w:tblGrid>
      <w:tr>
        <w:tc>
          <w:tcPr>
            <w:tcW w:w="350" w:type="pct"/>
            <w:shd w:val="clear" w:color="auto" w:fill="002060"/>
          </w:tcPr>
          <w:p>
            <w:pPr>
              <w:pStyle w:val="BodyText"/>
              <w:rPr>
                <w:rFonts w:ascii="Arial" w:hAnsi="Arial" w:cs="Arial"/>
                <w:snapToGrid w:val="0"/>
              </w:rPr>
            </w:pPr>
            <w:r>
              <w:rPr>
                <w:rFonts w:ascii="Arial" w:hAnsi="Arial" w:cs="Arial"/>
              </w:rPr>
              <w:t> </w:t>
            </w:r>
          </w:p>
        </w:tc>
        <w:tc>
          <w:tcPr>
            <w:tcW w:w="3950" w:type="pct"/>
            <w:shd w:val="clear" w:color="auto" w:fill="002060"/>
          </w:tcPr>
          <w:p>
            <w:pPr>
              <w:pStyle w:val="Heading1"/>
              <w:rPr>
                <w:rFonts w:ascii="Arial" w:hAnsi="Arial" w:cs="Arial"/>
                <w:color w:val="FFFFFF" w:themeColor="background1"/>
              </w:rPr>
            </w:pPr>
            <w:r>
              <w:rPr>
                <w:rStyle w:val="Bold"/>
                <w:rFonts w:ascii="Arial" w:hAnsi="Arial" w:cs="Arial"/>
                <w:b/>
                <w:bCs/>
                <w:color w:val="FFFFFF" w:themeColor="background1"/>
              </w:rPr>
              <w:t>Sequence of tasks</w:t>
            </w:r>
          </w:p>
        </w:tc>
        <w:tc>
          <w:tcPr>
            <w:tcW w:w="700" w:type="pct"/>
            <w:shd w:val="clear" w:color="auto" w:fill="002060"/>
          </w:tcPr>
          <w:p>
            <w:pPr>
              <w:pStyle w:val="BodyText"/>
              <w:rPr>
                <w:rFonts w:ascii="Arial" w:hAnsi="Arial" w:cs="Arial"/>
                <w:snapToGrid w:val="0"/>
              </w:rPr>
            </w:pPr>
            <w:r>
              <w:rPr>
                <w:rStyle w:val="Bold"/>
                <w:rFonts w:ascii="Arial" w:hAnsi="Arial" w:cs="Arial"/>
              </w:rPr>
              <w:t> </w:t>
            </w:r>
          </w:p>
        </w:tc>
      </w:tr>
      <w:tr>
        <w:tc>
          <w:tcPr>
            <w:tcW w:w="5000" w:type="pct"/>
            <w:gridSpan w:val="3"/>
            <w:shd w:val="clear" w:color="auto" w:fill="00A3E0" w:themeFill="accent3"/>
          </w:tcPr>
          <w:p>
            <w:pPr>
              <w:pStyle w:val="Heading2"/>
              <w:tabs>
                <w:tab w:val="left" w:pos="3247"/>
              </w:tabs>
              <w:rPr>
                <w:rFonts w:ascii="Arial" w:hAnsi="Arial" w:cs="Arial"/>
                <w:color w:val="FFFFFF" w:themeColor="background1"/>
              </w:rPr>
            </w:pPr>
            <w:r>
              <w:rPr>
                <w:rStyle w:val="Bold"/>
                <w:rFonts w:ascii="Arial" w:hAnsi="Arial" w:cs="Arial"/>
                <w:b w:val="0"/>
                <w:bCs w:val="0"/>
                <w:color w:val="FFFFFF" w:themeColor="background1"/>
              </w:rPr>
              <w:t>Frequency of payment</w:t>
            </w:r>
            <w:r>
              <w:rPr>
                <w:rStyle w:val="Bold"/>
                <w:rFonts w:ascii="Arial" w:hAnsi="Arial" w:cs="Arial"/>
                <w:b w:val="0"/>
                <w:bCs w:val="0"/>
                <w:color w:val="FFFFFF" w:themeColor="background1"/>
              </w:rPr>
              <w:tab/>
            </w:r>
          </w:p>
        </w:tc>
      </w:tr>
      <w:tr>
        <w:tc>
          <w:tcPr>
            <w:tcW w:w="350" w:type="pct"/>
          </w:tcPr>
          <w:p>
            <w:pPr>
              <w:pStyle w:val="BodyText"/>
              <w:rPr>
                <w:rFonts w:ascii="Arial" w:hAnsi="Arial" w:cs="Arial"/>
                <w:snapToGrid w:val="0"/>
              </w:rPr>
            </w:pPr>
            <w:r>
              <w:rPr>
                <w:rFonts w:ascii="Arial" w:hAnsi="Arial" w:cs="Arial"/>
              </w:rPr>
              <w:t> </w:t>
            </w:r>
          </w:p>
        </w:tc>
        <w:tc>
          <w:tcPr>
            <w:tcW w:w="3950" w:type="pct"/>
          </w:tcPr>
          <w:p>
            <w:pPr>
              <w:pStyle w:val="BodyText"/>
              <w:spacing w:line="360" w:lineRule="auto"/>
              <w:rPr>
                <w:rFonts w:ascii="Arial" w:hAnsi="Arial" w:cs="Arial"/>
                <w:snapToGrid w:val="0"/>
              </w:rPr>
            </w:pPr>
            <w:r>
              <w:rPr>
                <w:rFonts w:ascii="Arial" w:hAnsi="Arial" w:cs="Arial"/>
              </w:rPr>
              <w:t>Decide how often wages and salaries are to be paid — up to a maximum period of one month, but may be a lesser period depending on an applicable award or enterprise agreement (</w:t>
            </w:r>
            <w:proofErr w:type="spellStart"/>
            <w:r>
              <w:rPr>
                <w:rFonts w:ascii="Arial" w:hAnsi="Arial" w:cs="Arial"/>
              </w:rPr>
              <w:t>eg</w:t>
            </w:r>
            <w:proofErr w:type="spellEnd"/>
            <w:r>
              <w:rPr>
                <w:rFonts w:ascii="Arial" w:hAnsi="Arial" w:cs="Arial"/>
              </w:rPr>
              <w:t>. weekly, fortnightly, monthly).</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350" w:type="pct"/>
          </w:tcPr>
          <w:p>
            <w:pPr>
              <w:pStyle w:val="BodyText"/>
              <w:rPr>
                <w:rFonts w:ascii="Arial" w:hAnsi="Arial" w:cs="Arial"/>
                <w:snapToGrid w:val="0"/>
              </w:rPr>
            </w:pPr>
            <w:r>
              <w:rPr>
                <w:rFonts w:ascii="Arial" w:hAnsi="Arial" w:cs="Arial"/>
              </w:rPr>
              <w:t> </w:t>
            </w:r>
          </w:p>
        </w:tc>
        <w:tc>
          <w:tcPr>
            <w:tcW w:w="3950" w:type="pct"/>
          </w:tcPr>
          <w:p>
            <w:pPr>
              <w:pStyle w:val="BodyText"/>
              <w:rPr>
                <w:rFonts w:ascii="Arial" w:hAnsi="Arial" w:cs="Arial"/>
                <w:snapToGrid w:val="0"/>
              </w:rPr>
            </w:pPr>
            <w:r>
              <w:rPr>
                <w:rFonts w:ascii="Arial" w:hAnsi="Arial" w:cs="Arial"/>
              </w:rPr>
              <w:t>Decide when pay day will fall, if required (consistent with any relevant industrial instrument or contract of employment).</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350" w:type="pct"/>
          </w:tcPr>
          <w:p>
            <w:pPr>
              <w:pStyle w:val="BodyText"/>
              <w:rPr>
                <w:rFonts w:ascii="Arial" w:hAnsi="Arial" w:cs="Arial"/>
                <w:snapToGrid w:val="0"/>
              </w:rPr>
            </w:pPr>
            <w:r>
              <w:rPr>
                <w:rFonts w:ascii="Arial" w:hAnsi="Arial" w:cs="Arial"/>
              </w:rPr>
              <w:t xml:space="preserve"> </w:t>
            </w:r>
          </w:p>
        </w:tc>
        <w:tc>
          <w:tcPr>
            <w:tcW w:w="3950" w:type="pct"/>
          </w:tcPr>
          <w:p>
            <w:pPr>
              <w:pStyle w:val="BodyText"/>
              <w:rPr>
                <w:rFonts w:ascii="Arial" w:hAnsi="Arial" w:cs="Arial"/>
                <w:snapToGrid w:val="0"/>
              </w:rPr>
            </w:pPr>
            <w:r>
              <w:rPr>
                <w:rFonts w:ascii="Arial" w:hAnsi="Arial" w:cs="Arial"/>
              </w:rPr>
              <w:t>Decide the method of payment (</w:t>
            </w:r>
            <w:proofErr w:type="spellStart"/>
            <w:r>
              <w:rPr>
                <w:rFonts w:ascii="Arial" w:hAnsi="Arial" w:cs="Arial"/>
              </w:rPr>
              <w:t>eg</w:t>
            </w:r>
            <w:proofErr w:type="spellEnd"/>
            <w:r>
              <w:rPr>
                <w:rFonts w:ascii="Arial" w:hAnsi="Arial" w:cs="Arial"/>
              </w:rPr>
              <w:t>. cheque, electronic funds transfer, or as specified by an enterprise agreement or award).</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5000" w:type="pct"/>
            <w:gridSpan w:val="3"/>
            <w:shd w:val="clear" w:color="auto" w:fill="00A3E0" w:themeFill="accent3"/>
          </w:tcPr>
          <w:p>
            <w:pPr>
              <w:pStyle w:val="Heading2"/>
              <w:rPr>
                <w:rFonts w:ascii="Arial" w:hAnsi="Arial" w:cs="Arial"/>
                <w:color w:val="FFFFFF" w:themeColor="background1"/>
              </w:rPr>
            </w:pPr>
            <w:r>
              <w:rPr>
                <w:rStyle w:val="Bold"/>
                <w:rFonts w:ascii="Arial" w:hAnsi="Arial" w:cs="Arial"/>
                <w:b w:val="0"/>
                <w:bCs w:val="0"/>
                <w:color w:val="FFFFFF" w:themeColor="background1"/>
              </w:rPr>
              <w:t>Deductions</w:t>
            </w:r>
          </w:p>
        </w:tc>
      </w:tr>
      <w:tr>
        <w:tc>
          <w:tcPr>
            <w:tcW w:w="350" w:type="pct"/>
          </w:tcPr>
          <w:p>
            <w:pPr>
              <w:pStyle w:val="BodyText"/>
              <w:rPr>
                <w:rFonts w:ascii="Arial" w:hAnsi="Arial" w:cs="Arial"/>
                <w:snapToGrid w:val="0"/>
              </w:rPr>
            </w:pPr>
            <w:r>
              <w:rPr>
                <w:rFonts w:ascii="Arial" w:hAnsi="Arial" w:cs="Arial"/>
              </w:rPr>
              <w:t> </w:t>
            </w:r>
          </w:p>
        </w:tc>
        <w:tc>
          <w:tcPr>
            <w:tcW w:w="3950" w:type="pct"/>
          </w:tcPr>
          <w:p>
            <w:pPr>
              <w:pStyle w:val="BodyText"/>
              <w:rPr>
                <w:rFonts w:ascii="Arial" w:hAnsi="Arial" w:cs="Arial"/>
              </w:rPr>
            </w:pPr>
            <w:r>
              <w:rPr>
                <w:rFonts w:ascii="Arial" w:hAnsi="Arial" w:cs="Arial"/>
              </w:rPr>
              <w:t>Make any required deductions. Deductions may be required by:</w:t>
            </w:r>
          </w:p>
          <w:p>
            <w:pPr>
              <w:pStyle w:val="bulletpoint"/>
              <w:rPr>
                <w:rFonts w:ascii="Arial" w:hAnsi="Arial" w:cs="Arial"/>
                <w:szCs w:val="20"/>
              </w:rPr>
            </w:pPr>
            <w:r>
              <w:rPr>
                <w:rFonts w:ascii="Arial" w:hAnsi="Arial" w:cs="Arial"/>
                <w:szCs w:val="20"/>
              </w:rPr>
              <w:t>Law (</w:t>
            </w:r>
            <w:proofErr w:type="spellStart"/>
            <w:r>
              <w:rPr>
                <w:rFonts w:ascii="Arial" w:hAnsi="Arial" w:cs="Arial"/>
                <w:szCs w:val="20"/>
              </w:rPr>
              <w:t>eg</w:t>
            </w:r>
            <w:proofErr w:type="spellEnd"/>
            <w:r>
              <w:rPr>
                <w:rFonts w:ascii="Arial" w:hAnsi="Arial" w:cs="Arial"/>
                <w:szCs w:val="20"/>
              </w:rPr>
              <w:t>. taxation);</w:t>
            </w:r>
          </w:p>
          <w:p>
            <w:pPr>
              <w:pStyle w:val="bulletpoint"/>
              <w:rPr>
                <w:rFonts w:ascii="Arial" w:hAnsi="Arial" w:cs="Arial"/>
                <w:szCs w:val="20"/>
              </w:rPr>
            </w:pPr>
            <w:r>
              <w:rPr>
                <w:rFonts w:ascii="Arial" w:hAnsi="Arial" w:cs="Arial"/>
                <w:szCs w:val="20"/>
              </w:rPr>
              <w:t>Court orders (</w:t>
            </w:r>
            <w:proofErr w:type="spellStart"/>
            <w:r>
              <w:rPr>
                <w:rFonts w:ascii="Arial" w:hAnsi="Arial" w:cs="Arial"/>
                <w:szCs w:val="20"/>
              </w:rPr>
              <w:t>eg</w:t>
            </w:r>
            <w:proofErr w:type="spellEnd"/>
            <w:r>
              <w:rPr>
                <w:rFonts w:ascii="Arial" w:hAnsi="Arial" w:cs="Arial"/>
                <w:szCs w:val="20"/>
              </w:rPr>
              <w:t>. garnishee orders in relation to child support or debt recovery); and/or</w:t>
            </w:r>
          </w:p>
          <w:p>
            <w:pPr>
              <w:pStyle w:val="bulletpoint"/>
              <w:rPr>
                <w:rFonts w:ascii="Arial" w:hAnsi="Arial" w:cs="Arial"/>
                <w:snapToGrid w:val="0"/>
                <w:szCs w:val="20"/>
              </w:rPr>
            </w:pPr>
            <w:r>
              <w:rPr>
                <w:rFonts w:ascii="Arial" w:hAnsi="Arial" w:cs="Arial"/>
                <w:szCs w:val="20"/>
              </w:rPr>
              <w:t>A</w:t>
            </w:r>
            <w:r>
              <w:rPr>
                <w:rFonts w:ascii="Arial" w:hAnsi="Arial" w:cs="Arial"/>
                <w:szCs w:val="20"/>
              </w:rPr>
              <w:t>n order of the Fair Work Commission.</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350" w:type="pct"/>
          </w:tcPr>
          <w:p>
            <w:pPr>
              <w:pStyle w:val="BodyText"/>
              <w:rPr>
                <w:rFonts w:ascii="Arial" w:hAnsi="Arial" w:cs="Arial"/>
                <w:snapToGrid w:val="0"/>
              </w:rPr>
            </w:pPr>
            <w:r>
              <w:rPr>
                <w:rFonts w:ascii="Arial" w:hAnsi="Arial" w:cs="Arial"/>
              </w:rPr>
              <w:t> </w:t>
            </w:r>
          </w:p>
        </w:tc>
        <w:tc>
          <w:tcPr>
            <w:tcW w:w="3950" w:type="pct"/>
          </w:tcPr>
          <w:p>
            <w:pPr>
              <w:pStyle w:val="BodyText"/>
              <w:rPr>
                <w:rFonts w:ascii="Arial" w:hAnsi="Arial" w:cs="Arial"/>
              </w:rPr>
            </w:pPr>
            <w:r>
              <w:rPr>
                <w:rFonts w:ascii="Arial" w:hAnsi="Arial" w:cs="Arial"/>
              </w:rPr>
              <w:t>Make authorised deductions. Deductions may be authorised by:</w:t>
            </w:r>
          </w:p>
          <w:p>
            <w:pPr>
              <w:pStyle w:val="bulletpoint"/>
              <w:rPr>
                <w:rFonts w:ascii="Arial" w:hAnsi="Arial" w:cs="Arial"/>
                <w:szCs w:val="20"/>
              </w:rPr>
            </w:pPr>
            <w:r>
              <w:rPr>
                <w:rFonts w:ascii="Arial" w:hAnsi="Arial" w:cs="Arial"/>
                <w:szCs w:val="20"/>
              </w:rPr>
              <w:t>An industrial instrument (</w:t>
            </w:r>
            <w:proofErr w:type="spellStart"/>
            <w:r>
              <w:rPr>
                <w:rFonts w:ascii="Arial" w:hAnsi="Arial" w:cs="Arial"/>
                <w:szCs w:val="20"/>
              </w:rPr>
              <w:t>eg</w:t>
            </w:r>
            <w:proofErr w:type="spellEnd"/>
            <w:r>
              <w:rPr>
                <w:rFonts w:ascii="Arial" w:hAnsi="Arial" w:cs="Arial"/>
                <w:szCs w:val="20"/>
              </w:rPr>
              <w:t>. an enterprise agreement or award); and/or</w:t>
            </w:r>
          </w:p>
          <w:p>
            <w:pPr>
              <w:pStyle w:val="bulletpoint"/>
              <w:rPr>
                <w:rFonts w:ascii="Arial" w:hAnsi="Arial" w:cs="Arial"/>
                <w:snapToGrid w:val="0"/>
                <w:szCs w:val="20"/>
              </w:rPr>
            </w:pPr>
            <w:r>
              <w:rPr>
                <w:rFonts w:ascii="Arial" w:hAnsi="Arial" w:cs="Arial"/>
                <w:szCs w:val="20"/>
              </w:rPr>
              <w:t>The employee in writing.</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5000" w:type="pct"/>
            <w:gridSpan w:val="3"/>
            <w:shd w:val="clear" w:color="auto" w:fill="00A3E0" w:themeFill="accent3"/>
          </w:tcPr>
          <w:p>
            <w:pPr>
              <w:pStyle w:val="Heading2"/>
              <w:rPr>
                <w:rFonts w:ascii="Arial" w:hAnsi="Arial" w:cs="Arial"/>
                <w:color w:val="FFFFFF" w:themeColor="background1"/>
              </w:rPr>
            </w:pPr>
            <w:r>
              <w:rPr>
                <w:rStyle w:val="Bold"/>
                <w:rFonts w:ascii="Arial" w:hAnsi="Arial" w:cs="Arial"/>
                <w:b w:val="0"/>
                <w:bCs w:val="0"/>
                <w:color w:val="FFFFFF" w:themeColor="background1"/>
              </w:rPr>
              <w:t>Employee records</w:t>
            </w:r>
          </w:p>
        </w:tc>
      </w:tr>
      <w:tr>
        <w:tc>
          <w:tcPr>
            <w:tcW w:w="350" w:type="pct"/>
          </w:tcPr>
          <w:p>
            <w:pPr>
              <w:pStyle w:val="BodyText"/>
              <w:rPr>
                <w:rFonts w:ascii="Arial" w:hAnsi="Arial" w:cs="Arial"/>
                <w:snapToGrid w:val="0"/>
              </w:rPr>
            </w:pPr>
            <w:r>
              <w:rPr>
                <w:rFonts w:ascii="Arial" w:hAnsi="Arial" w:cs="Arial"/>
              </w:rPr>
              <w:t> </w:t>
            </w:r>
          </w:p>
        </w:tc>
        <w:tc>
          <w:tcPr>
            <w:tcW w:w="3950" w:type="pct"/>
          </w:tcPr>
          <w:p>
            <w:pPr>
              <w:pStyle w:val="BodyText"/>
              <w:rPr>
                <w:rFonts w:ascii="Arial" w:hAnsi="Arial" w:cs="Arial"/>
              </w:rPr>
            </w:pPr>
            <w:r>
              <w:rPr>
                <w:rFonts w:ascii="Arial" w:hAnsi="Arial" w:cs="Arial"/>
              </w:rPr>
              <w:t>Make and keep records specifying:</w:t>
            </w:r>
          </w:p>
          <w:p>
            <w:pPr>
              <w:pStyle w:val="bulletpoint"/>
              <w:rPr>
                <w:rFonts w:ascii="Arial" w:hAnsi="Arial" w:cs="Arial"/>
                <w:szCs w:val="20"/>
              </w:rPr>
            </w:pPr>
            <w:r>
              <w:rPr>
                <w:rFonts w:ascii="Arial" w:hAnsi="Arial" w:cs="Arial"/>
              </w:rPr>
              <w:t>T</w:t>
            </w:r>
            <w:r>
              <w:rPr>
                <w:rFonts w:ascii="Arial" w:hAnsi="Arial" w:cs="Arial"/>
                <w:szCs w:val="20"/>
              </w:rPr>
              <w:t>he employer’s name;</w:t>
            </w:r>
          </w:p>
          <w:p>
            <w:pPr>
              <w:pStyle w:val="bulletpoint"/>
              <w:rPr>
                <w:rFonts w:ascii="Arial" w:hAnsi="Arial" w:cs="Arial"/>
                <w:szCs w:val="20"/>
              </w:rPr>
            </w:pPr>
            <w:r>
              <w:rPr>
                <w:rFonts w:ascii="Arial" w:hAnsi="Arial" w:cs="Arial"/>
                <w:szCs w:val="20"/>
              </w:rPr>
              <w:t>T</w:t>
            </w:r>
            <w:r>
              <w:rPr>
                <w:rFonts w:ascii="Arial" w:hAnsi="Arial" w:cs="Arial"/>
                <w:szCs w:val="20"/>
              </w:rPr>
              <w:t>he employee’s name;</w:t>
            </w:r>
          </w:p>
          <w:p>
            <w:pPr>
              <w:pStyle w:val="bulletpoint"/>
              <w:rPr>
                <w:rFonts w:ascii="Arial" w:hAnsi="Arial" w:cs="Arial"/>
                <w:szCs w:val="20"/>
              </w:rPr>
            </w:pPr>
            <w:r>
              <w:rPr>
                <w:rFonts w:ascii="Arial" w:hAnsi="Arial" w:cs="Arial"/>
                <w:szCs w:val="20"/>
              </w:rPr>
              <w:t>W</w:t>
            </w:r>
            <w:r>
              <w:rPr>
                <w:rFonts w:ascii="Arial" w:hAnsi="Arial" w:cs="Arial"/>
                <w:szCs w:val="20"/>
              </w:rPr>
              <w:t>hether the employee’s employment is full-time or part-time;</w:t>
            </w:r>
          </w:p>
          <w:p>
            <w:pPr>
              <w:pStyle w:val="bulletpoint"/>
              <w:rPr>
                <w:rFonts w:ascii="Arial" w:hAnsi="Arial" w:cs="Arial"/>
                <w:szCs w:val="20"/>
              </w:rPr>
            </w:pPr>
            <w:r>
              <w:rPr>
                <w:rFonts w:ascii="Arial" w:hAnsi="Arial" w:cs="Arial"/>
                <w:szCs w:val="20"/>
              </w:rPr>
              <w:t>W</w:t>
            </w:r>
            <w:r>
              <w:rPr>
                <w:rFonts w:ascii="Arial" w:hAnsi="Arial" w:cs="Arial"/>
                <w:szCs w:val="20"/>
              </w:rPr>
              <w:t>hether the employee’s employment is permanent, temporary or casual;</w:t>
            </w:r>
          </w:p>
          <w:p>
            <w:pPr>
              <w:pStyle w:val="bulletpoint"/>
              <w:rPr>
                <w:rFonts w:ascii="Arial" w:hAnsi="Arial" w:cs="Arial"/>
                <w:szCs w:val="20"/>
              </w:rPr>
            </w:pPr>
            <w:r>
              <w:rPr>
                <w:rFonts w:ascii="Arial" w:hAnsi="Arial" w:cs="Arial"/>
                <w:szCs w:val="20"/>
              </w:rPr>
              <w:t>T</w:t>
            </w:r>
            <w:r>
              <w:rPr>
                <w:rFonts w:ascii="Arial" w:hAnsi="Arial" w:cs="Arial"/>
                <w:szCs w:val="20"/>
              </w:rPr>
              <w:t>he date on which the employee’s employment began; and</w:t>
            </w:r>
          </w:p>
          <w:p>
            <w:pPr>
              <w:pStyle w:val="bulletpoint"/>
              <w:rPr>
                <w:rFonts w:ascii="Arial" w:hAnsi="Arial" w:cs="Arial"/>
                <w:snapToGrid w:val="0"/>
                <w:szCs w:val="20"/>
              </w:rPr>
            </w:pPr>
            <w:r>
              <w:rPr>
                <w:rFonts w:ascii="Arial" w:hAnsi="Arial" w:cs="Arial"/>
                <w:szCs w:val="20"/>
              </w:rPr>
              <w:t>T</w:t>
            </w:r>
            <w:r>
              <w:rPr>
                <w:rFonts w:ascii="Arial" w:hAnsi="Arial" w:cs="Arial"/>
                <w:szCs w:val="20"/>
              </w:rPr>
              <w:t>he Australian Business Number (if any) of the employer.</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5000" w:type="pct"/>
            <w:gridSpan w:val="3"/>
            <w:shd w:val="clear" w:color="auto" w:fill="00A3E0" w:themeFill="accent3"/>
          </w:tcPr>
          <w:p>
            <w:pPr>
              <w:pStyle w:val="Heading2"/>
              <w:rPr>
                <w:rFonts w:ascii="Arial" w:hAnsi="Arial" w:cs="Arial"/>
                <w:color w:val="FFFFFF" w:themeColor="background1"/>
              </w:rPr>
            </w:pPr>
            <w:r>
              <w:rPr>
                <w:rStyle w:val="Bold"/>
                <w:rFonts w:ascii="Arial" w:hAnsi="Arial" w:cs="Arial"/>
                <w:b w:val="0"/>
                <w:bCs w:val="0"/>
                <w:color w:val="FFFFFF" w:themeColor="background1"/>
              </w:rPr>
              <w:t>Pay records</w:t>
            </w:r>
          </w:p>
        </w:tc>
      </w:tr>
      <w:tr>
        <w:tc>
          <w:tcPr>
            <w:tcW w:w="350" w:type="pct"/>
          </w:tcPr>
          <w:p>
            <w:pPr>
              <w:pStyle w:val="BodyText"/>
              <w:rPr>
                <w:rFonts w:ascii="Arial" w:hAnsi="Arial" w:cs="Arial"/>
                <w:snapToGrid w:val="0"/>
              </w:rPr>
            </w:pPr>
            <w:r>
              <w:rPr>
                <w:rFonts w:ascii="Arial" w:hAnsi="Arial" w:cs="Arial"/>
              </w:rPr>
              <w:t> </w:t>
            </w:r>
          </w:p>
        </w:tc>
        <w:tc>
          <w:tcPr>
            <w:tcW w:w="3950" w:type="pct"/>
          </w:tcPr>
          <w:p>
            <w:pPr>
              <w:pStyle w:val="BodyText"/>
              <w:rPr>
                <w:rFonts w:ascii="Arial" w:hAnsi="Arial" w:cs="Arial"/>
              </w:rPr>
            </w:pPr>
            <w:r>
              <w:rPr>
                <w:rFonts w:ascii="Arial" w:hAnsi="Arial" w:cs="Arial"/>
              </w:rPr>
              <w:t>Make and keep records of:</w:t>
            </w:r>
          </w:p>
          <w:p>
            <w:pPr>
              <w:pStyle w:val="bulletpoint"/>
              <w:rPr>
                <w:rFonts w:ascii="Arial" w:hAnsi="Arial" w:cs="Arial"/>
                <w:szCs w:val="20"/>
              </w:rPr>
            </w:pPr>
            <w:r>
              <w:rPr>
                <w:rFonts w:ascii="Arial" w:hAnsi="Arial" w:cs="Arial"/>
              </w:rPr>
              <w:t>T</w:t>
            </w:r>
            <w:r>
              <w:rPr>
                <w:rFonts w:ascii="Arial" w:hAnsi="Arial" w:cs="Arial"/>
                <w:szCs w:val="20"/>
              </w:rPr>
              <w:t>he rate of remuneration paid to the employee;</w:t>
            </w:r>
          </w:p>
          <w:p>
            <w:pPr>
              <w:pStyle w:val="bulletpoint"/>
              <w:rPr>
                <w:rFonts w:ascii="Arial" w:hAnsi="Arial" w:cs="Arial"/>
                <w:szCs w:val="20"/>
              </w:rPr>
            </w:pPr>
            <w:r>
              <w:rPr>
                <w:rFonts w:ascii="Arial" w:hAnsi="Arial" w:cs="Arial"/>
                <w:szCs w:val="20"/>
              </w:rPr>
              <w:t>T</w:t>
            </w:r>
            <w:r>
              <w:rPr>
                <w:rFonts w:ascii="Arial" w:hAnsi="Arial" w:cs="Arial"/>
                <w:szCs w:val="20"/>
              </w:rPr>
              <w:t>he gross and net amounts paid to the employee;</w:t>
            </w:r>
          </w:p>
          <w:p>
            <w:pPr>
              <w:pStyle w:val="bulletpoint"/>
              <w:rPr>
                <w:rFonts w:ascii="Arial" w:hAnsi="Arial" w:cs="Arial"/>
                <w:szCs w:val="20"/>
              </w:rPr>
            </w:pPr>
            <w:r>
              <w:rPr>
                <w:rFonts w:ascii="Arial" w:hAnsi="Arial" w:cs="Arial"/>
                <w:szCs w:val="20"/>
              </w:rPr>
              <w:lastRenderedPageBreak/>
              <w:t>A</w:t>
            </w:r>
            <w:r>
              <w:rPr>
                <w:rFonts w:ascii="Arial" w:hAnsi="Arial" w:cs="Arial"/>
                <w:szCs w:val="20"/>
              </w:rPr>
              <w:t>ny deductions made from the gross amount paid to the employee;</w:t>
            </w:r>
          </w:p>
          <w:p>
            <w:pPr>
              <w:pStyle w:val="bulletpoint"/>
              <w:rPr>
                <w:rFonts w:ascii="Arial" w:hAnsi="Arial" w:cs="Arial"/>
                <w:szCs w:val="20"/>
              </w:rPr>
            </w:pPr>
            <w:r>
              <w:rPr>
                <w:rFonts w:ascii="Arial" w:hAnsi="Arial" w:cs="Arial"/>
                <w:szCs w:val="20"/>
              </w:rPr>
              <w:t>T</w:t>
            </w:r>
            <w:r>
              <w:rPr>
                <w:rFonts w:ascii="Arial" w:hAnsi="Arial" w:cs="Arial"/>
                <w:szCs w:val="20"/>
              </w:rPr>
              <w:t>he hours worked by the employee, if the employee is a casual or irregular part-time employee who is guaranteed a rate of pay set by reference to a period of time worked; and</w:t>
            </w:r>
          </w:p>
          <w:p>
            <w:pPr>
              <w:pStyle w:val="bulletpoint"/>
              <w:rPr>
                <w:rFonts w:ascii="Arial" w:hAnsi="Arial" w:cs="Arial"/>
                <w:snapToGrid w:val="0"/>
                <w:szCs w:val="20"/>
              </w:rPr>
            </w:pPr>
            <w:r>
              <w:rPr>
                <w:rFonts w:ascii="Arial" w:hAnsi="Arial" w:cs="Arial"/>
                <w:szCs w:val="20"/>
              </w:rPr>
              <w:t>T</w:t>
            </w:r>
            <w:r>
              <w:rPr>
                <w:rFonts w:ascii="Arial" w:hAnsi="Arial" w:cs="Arial"/>
                <w:szCs w:val="20"/>
              </w:rPr>
              <w:t>he details of payment of any incentive-based payment, bonus, loading, penalty rate, allowance or separately identifiable entitlement the employee is entitled to.</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lastRenderedPageBreak/>
              <w:sym w:font="Wingdings" w:char="F072"/>
            </w:r>
          </w:p>
        </w:tc>
      </w:tr>
      <w:tr>
        <w:tc>
          <w:tcPr>
            <w:tcW w:w="5000" w:type="pct"/>
            <w:gridSpan w:val="3"/>
            <w:shd w:val="clear" w:color="auto" w:fill="00A3E0" w:themeFill="accent3"/>
          </w:tcPr>
          <w:p>
            <w:pPr>
              <w:pStyle w:val="Heading2"/>
              <w:rPr>
                <w:rFonts w:ascii="Arial" w:hAnsi="Arial" w:cs="Arial"/>
                <w:color w:val="FFFFFF" w:themeColor="background1"/>
              </w:rPr>
            </w:pPr>
            <w:r>
              <w:rPr>
                <w:rStyle w:val="Bold"/>
                <w:rFonts w:ascii="Arial" w:hAnsi="Arial" w:cs="Arial"/>
                <w:b w:val="0"/>
                <w:bCs w:val="0"/>
                <w:color w:val="FFFFFF" w:themeColor="background1"/>
              </w:rPr>
              <w:t>Overtime</w:t>
            </w:r>
          </w:p>
        </w:tc>
      </w:tr>
      <w:tr>
        <w:tc>
          <w:tcPr>
            <w:tcW w:w="350" w:type="pct"/>
          </w:tcPr>
          <w:p>
            <w:pPr>
              <w:pStyle w:val="BodyText"/>
              <w:rPr>
                <w:rFonts w:ascii="Arial" w:hAnsi="Arial" w:cs="Arial"/>
                <w:snapToGrid w:val="0"/>
              </w:rPr>
            </w:pPr>
            <w:r>
              <w:rPr>
                <w:rStyle w:val="Bold"/>
                <w:rFonts w:ascii="Arial" w:hAnsi="Arial" w:cs="Arial"/>
              </w:rPr>
              <w:t> </w:t>
            </w:r>
          </w:p>
        </w:tc>
        <w:tc>
          <w:tcPr>
            <w:tcW w:w="3950" w:type="pct"/>
          </w:tcPr>
          <w:p>
            <w:pPr>
              <w:pStyle w:val="BodyText"/>
              <w:rPr>
                <w:rFonts w:ascii="Arial" w:hAnsi="Arial" w:cs="Arial"/>
              </w:rPr>
            </w:pPr>
            <w:r>
              <w:rPr>
                <w:rFonts w:ascii="Arial" w:hAnsi="Arial" w:cs="Arial"/>
              </w:rPr>
              <w:t>If a penalty rate or loading (however described) is payable for overtime hours actually worked by an employee, make and keep records of either:</w:t>
            </w:r>
          </w:p>
          <w:p>
            <w:pPr>
              <w:pStyle w:val="bulletpoint"/>
              <w:rPr>
                <w:rFonts w:ascii="Arial" w:hAnsi="Arial" w:cs="Arial"/>
                <w:szCs w:val="20"/>
              </w:rPr>
            </w:pPr>
            <w:r>
              <w:rPr>
                <w:rFonts w:ascii="Arial" w:hAnsi="Arial" w:cs="Arial"/>
              </w:rPr>
              <w:t>T</w:t>
            </w:r>
            <w:r>
              <w:rPr>
                <w:rFonts w:ascii="Arial" w:hAnsi="Arial" w:cs="Arial"/>
                <w:szCs w:val="20"/>
              </w:rPr>
              <w:t>he number of overtime hours the employee worked each day; and</w:t>
            </w:r>
          </w:p>
          <w:p>
            <w:pPr>
              <w:pStyle w:val="bulletpoint"/>
              <w:rPr>
                <w:rFonts w:ascii="Arial" w:hAnsi="Arial" w:cs="Arial"/>
                <w:snapToGrid w:val="0"/>
                <w:szCs w:val="20"/>
              </w:rPr>
            </w:pPr>
            <w:r>
              <w:rPr>
                <w:rFonts w:ascii="Arial" w:hAnsi="Arial" w:cs="Arial"/>
                <w:szCs w:val="20"/>
              </w:rPr>
              <w:t>W</w:t>
            </w:r>
            <w:r>
              <w:rPr>
                <w:rFonts w:ascii="Arial" w:hAnsi="Arial" w:cs="Arial"/>
                <w:szCs w:val="20"/>
              </w:rPr>
              <w:t>hen the employee started and ceased working overtime hours.</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5000" w:type="pct"/>
            <w:gridSpan w:val="3"/>
            <w:shd w:val="clear" w:color="auto" w:fill="00A3E0" w:themeFill="accent3"/>
          </w:tcPr>
          <w:p>
            <w:pPr>
              <w:pStyle w:val="Heading2"/>
              <w:rPr>
                <w:rFonts w:ascii="Arial" w:hAnsi="Arial" w:cs="Arial"/>
                <w:color w:val="FFFFFF" w:themeColor="background1"/>
              </w:rPr>
            </w:pPr>
            <w:r>
              <w:rPr>
                <w:rStyle w:val="Bold"/>
                <w:rFonts w:ascii="Arial" w:hAnsi="Arial" w:cs="Arial"/>
                <w:b w:val="0"/>
                <w:bCs w:val="0"/>
                <w:color w:val="FFFFFF" w:themeColor="background1"/>
              </w:rPr>
              <w:t>Superannuation</w:t>
            </w:r>
          </w:p>
        </w:tc>
      </w:tr>
      <w:tr>
        <w:tc>
          <w:tcPr>
            <w:tcW w:w="350" w:type="pct"/>
          </w:tcPr>
          <w:p>
            <w:pPr>
              <w:pStyle w:val="BodyText"/>
              <w:rPr>
                <w:rFonts w:ascii="Arial" w:hAnsi="Arial" w:cs="Arial"/>
                <w:snapToGrid w:val="0"/>
              </w:rPr>
            </w:pPr>
            <w:r>
              <w:rPr>
                <w:rFonts w:ascii="Arial" w:hAnsi="Arial" w:cs="Arial"/>
              </w:rPr>
              <w:t> </w:t>
            </w:r>
          </w:p>
        </w:tc>
        <w:tc>
          <w:tcPr>
            <w:tcW w:w="3950" w:type="pct"/>
          </w:tcPr>
          <w:p>
            <w:pPr>
              <w:pStyle w:val="BodyText"/>
              <w:rPr>
                <w:rFonts w:ascii="Arial" w:hAnsi="Arial" w:cs="Arial"/>
              </w:rPr>
            </w:pPr>
            <w:r>
              <w:rPr>
                <w:rFonts w:ascii="Arial" w:hAnsi="Arial" w:cs="Arial"/>
              </w:rPr>
              <w:t>In relation to superannuation contributions (other than for defined benefit schemes) make and keep a record of:</w:t>
            </w:r>
          </w:p>
          <w:p>
            <w:pPr>
              <w:pStyle w:val="bulletpoint"/>
              <w:rPr>
                <w:rFonts w:ascii="Arial" w:hAnsi="Arial" w:cs="Arial"/>
                <w:szCs w:val="20"/>
              </w:rPr>
            </w:pPr>
            <w:r>
              <w:rPr>
                <w:rFonts w:ascii="Arial" w:hAnsi="Arial" w:cs="Arial"/>
              </w:rPr>
              <w:t>T</w:t>
            </w:r>
            <w:r>
              <w:rPr>
                <w:rFonts w:ascii="Arial" w:hAnsi="Arial" w:cs="Arial"/>
                <w:szCs w:val="20"/>
              </w:rPr>
              <w:t>he amount of the contributions made;</w:t>
            </w:r>
          </w:p>
          <w:p>
            <w:pPr>
              <w:pStyle w:val="bulletpoint"/>
              <w:rPr>
                <w:rFonts w:ascii="Arial" w:hAnsi="Arial" w:cs="Arial"/>
                <w:szCs w:val="20"/>
              </w:rPr>
            </w:pPr>
            <w:r>
              <w:rPr>
                <w:rFonts w:ascii="Arial" w:hAnsi="Arial" w:cs="Arial"/>
                <w:szCs w:val="20"/>
              </w:rPr>
              <w:t>T</w:t>
            </w:r>
            <w:r>
              <w:rPr>
                <w:rFonts w:ascii="Arial" w:hAnsi="Arial" w:cs="Arial"/>
                <w:szCs w:val="20"/>
              </w:rPr>
              <w:t>he period over which the contributions were made;</w:t>
            </w:r>
          </w:p>
          <w:p>
            <w:pPr>
              <w:pStyle w:val="bulletpoint"/>
              <w:rPr>
                <w:rFonts w:ascii="Arial" w:hAnsi="Arial" w:cs="Arial"/>
                <w:szCs w:val="20"/>
              </w:rPr>
            </w:pPr>
            <w:r>
              <w:rPr>
                <w:rFonts w:ascii="Arial" w:hAnsi="Arial" w:cs="Arial"/>
                <w:szCs w:val="20"/>
              </w:rPr>
              <w:t>T</w:t>
            </w:r>
            <w:r>
              <w:rPr>
                <w:rFonts w:ascii="Arial" w:hAnsi="Arial" w:cs="Arial"/>
                <w:szCs w:val="20"/>
              </w:rPr>
              <w:t>he date on which each contribution was made;</w:t>
            </w:r>
          </w:p>
          <w:p>
            <w:pPr>
              <w:pStyle w:val="bulletpoint"/>
              <w:rPr>
                <w:rFonts w:ascii="Arial" w:hAnsi="Arial" w:cs="Arial"/>
                <w:szCs w:val="20"/>
              </w:rPr>
            </w:pPr>
            <w:r>
              <w:rPr>
                <w:rFonts w:ascii="Arial" w:hAnsi="Arial" w:cs="Arial"/>
                <w:szCs w:val="20"/>
              </w:rPr>
              <w:t>T</w:t>
            </w:r>
            <w:r>
              <w:rPr>
                <w:rFonts w:ascii="Arial" w:hAnsi="Arial" w:cs="Arial"/>
                <w:szCs w:val="20"/>
              </w:rPr>
              <w:t>he name of any fund to which a contribution was made; and</w:t>
            </w:r>
          </w:p>
          <w:p>
            <w:pPr>
              <w:pStyle w:val="bulletpoint"/>
              <w:rPr>
                <w:rFonts w:ascii="Arial" w:hAnsi="Arial" w:cs="Arial"/>
                <w:snapToGrid w:val="0"/>
                <w:szCs w:val="20"/>
              </w:rPr>
            </w:pPr>
            <w:r>
              <w:rPr>
                <w:rFonts w:ascii="Arial" w:hAnsi="Arial" w:cs="Arial"/>
                <w:szCs w:val="20"/>
              </w:rPr>
              <w:t>T</w:t>
            </w:r>
            <w:r>
              <w:rPr>
                <w:rFonts w:ascii="Arial" w:hAnsi="Arial" w:cs="Arial"/>
                <w:szCs w:val="20"/>
              </w:rPr>
              <w:t>he basis on which the employer became liable to make the contribution, including a record of any election made by the employee as to the fund to which contributions are to be made, and the date of any relevant election.</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5000" w:type="pct"/>
            <w:gridSpan w:val="3"/>
            <w:shd w:val="clear" w:color="auto" w:fill="00A3E0" w:themeFill="accent3"/>
          </w:tcPr>
          <w:p>
            <w:pPr>
              <w:pStyle w:val="Heading2"/>
              <w:rPr>
                <w:rFonts w:ascii="Arial" w:hAnsi="Arial" w:cs="Arial"/>
                <w:color w:val="FFFFFF" w:themeColor="background1"/>
              </w:rPr>
            </w:pPr>
            <w:r>
              <w:rPr>
                <w:rStyle w:val="Bold"/>
                <w:rFonts w:ascii="Arial" w:hAnsi="Arial" w:cs="Arial"/>
                <w:b w:val="0"/>
                <w:bCs w:val="0"/>
                <w:color w:val="FFFFFF" w:themeColor="background1"/>
              </w:rPr>
              <w:t>Averaging of hours</w:t>
            </w:r>
          </w:p>
        </w:tc>
      </w:tr>
      <w:tr>
        <w:tc>
          <w:tcPr>
            <w:tcW w:w="350" w:type="pct"/>
          </w:tcPr>
          <w:p>
            <w:pPr>
              <w:pStyle w:val="BodyText"/>
              <w:rPr>
                <w:rFonts w:ascii="Arial" w:hAnsi="Arial" w:cs="Arial"/>
                <w:snapToGrid w:val="0"/>
              </w:rPr>
            </w:pPr>
            <w:r>
              <w:rPr>
                <w:rFonts w:ascii="Arial" w:hAnsi="Arial" w:cs="Arial"/>
              </w:rPr>
              <w:t xml:space="preserve"> </w:t>
            </w:r>
          </w:p>
        </w:tc>
        <w:tc>
          <w:tcPr>
            <w:tcW w:w="3950" w:type="pct"/>
          </w:tcPr>
          <w:p>
            <w:pPr>
              <w:pStyle w:val="BodyText"/>
              <w:rPr>
                <w:rFonts w:ascii="Arial" w:hAnsi="Arial" w:cs="Arial"/>
                <w:snapToGrid w:val="0"/>
              </w:rPr>
            </w:pPr>
            <w:r>
              <w:rPr>
                <w:rFonts w:ascii="Arial" w:hAnsi="Arial" w:cs="Arial"/>
              </w:rPr>
              <w:t>In relation to any agreement for an averaging of hours of work, make and keep a record of the agreement (which may include a contract of employment).</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5000" w:type="pct"/>
            <w:gridSpan w:val="3"/>
            <w:shd w:val="clear" w:color="auto" w:fill="00A3E0" w:themeFill="accent3"/>
          </w:tcPr>
          <w:p>
            <w:pPr>
              <w:pStyle w:val="Heading2"/>
              <w:rPr>
                <w:rFonts w:ascii="Arial" w:hAnsi="Arial" w:cs="Arial"/>
                <w:color w:val="FFFFFF" w:themeColor="background1"/>
              </w:rPr>
            </w:pPr>
            <w:r>
              <w:rPr>
                <w:rStyle w:val="Bold"/>
                <w:rFonts w:ascii="Arial" w:hAnsi="Arial" w:cs="Arial"/>
                <w:b w:val="0"/>
                <w:bCs w:val="0"/>
                <w:color w:val="FFFFFF" w:themeColor="background1"/>
              </w:rPr>
              <w:t>Leave</w:t>
            </w:r>
          </w:p>
        </w:tc>
      </w:tr>
      <w:tr>
        <w:tc>
          <w:tcPr>
            <w:tcW w:w="350" w:type="pct"/>
          </w:tcPr>
          <w:p>
            <w:pPr>
              <w:pStyle w:val="BodyText"/>
              <w:rPr>
                <w:rFonts w:ascii="Arial" w:hAnsi="Arial" w:cs="Arial"/>
                <w:snapToGrid w:val="0"/>
              </w:rPr>
            </w:pPr>
            <w:r>
              <w:rPr>
                <w:rFonts w:ascii="Arial" w:hAnsi="Arial" w:cs="Arial"/>
              </w:rPr>
              <w:t xml:space="preserve"> </w:t>
            </w:r>
          </w:p>
        </w:tc>
        <w:tc>
          <w:tcPr>
            <w:tcW w:w="3950" w:type="pct"/>
          </w:tcPr>
          <w:p>
            <w:pPr>
              <w:pStyle w:val="BodyText"/>
              <w:rPr>
                <w:rFonts w:ascii="Arial" w:hAnsi="Arial" w:cs="Arial"/>
              </w:rPr>
            </w:pPr>
            <w:r>
              <w:rPr>
                <w:rFonts w:ascii="Arial" w:hAnsi="Arial" w:cs="Arial"/>
              </w:rPr>
              <w:t>If an employee is entitled to leave, make and keep a record of:</w:t>
            </w:r>
          </w:p>
          <w:p>
            <w:pPr>
              <w:pStyle w:val="bulletpoint"/>
              <w:rPr>
                <w:rFonts w:ascii="Arial" w:hAnsi="Arial" w:cs="Arial"/>
                <w:szCs w:val="20"/>
              </w:rPr>
            </w:pPr>
            <w:r>
              <w:rPr>
                <w:rFonts w:ascii="Arial" w:hAnsi="Arial" w:cs="Arial"/>
              </w:rPr>
              <w:t>A</w:t>
            </w:r>
            <w:r>
              <w:rPr>
                <w:rFonts w:ascii="Arial" w:hAnsi="Arial" w:cs="Arial"/>
                <w:szCs w:val="20"/>
              </w:rPr>
              <w:t>ny leave that the employee takes; and</w:t>
            </w:r>
          </w:p>
          <w:p>
            <w:pPr>
              <w:pStyle w:val="bulletpoint"/>
              <w:rPr>
                <w:rFonts w:ascii="Arial" w:hAnsi="Arial" w:cs="Arial"/>
                <w:szCs w:val="20"/>
              </w:rPr>
            </w:pPr>
            <w:r>
              <w:rPr>
                <w:rFonts w:ascii="Arial" w:hAnsi="Arial" w:cs="Arial"/>
                <w:szCs w:val="20"/>
              </w:rPr>
              <w:t>T</w:t>
            </w:r>
            <w:r>
              <w:rPr>
                <w:rFonts w:ascii="Arial" w:hAnsi="Arial" w:cs="Arial"/>
                <w:szCs w:val="20"/>
              </w:rPr>
              <w:t>he balance (if any) of the employee’s entitlement to that leave from time to time.</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350" w:type="pct"/>
          </w:tcPr>
          <w:p>
            <w:pPr>
              <w:pStyle w:val="BodyText"/>
              <w:rPr>
                <w:rFonts w:ascii="Arial" w:hAnsi="Arial" w:cs="Arial"/>
              </w:rPr>
            </w:pPr>
          </w:p>
        </w:tc>
        <w:tc>
          <w:tcPr>
            <w:tcW w:w="3950" w:type="pct"/>
          </w:tcPr>
          <w:p>
            <w:pPr>
              <w:pStyle w:val="BodyText"/>
              <w:rPr>
                <w:rFonts w:ascii="Arial" w:hAnsi="Arial" w:cs="Arial"/>
              </w:rPr>
            </w:pPr>
            <w:r>
              <w:rPr>
                <w:rFonts w:ascii="Arial" w:hAnsi="Arial" w:cs="Arial"/>
              </w:rPr>
              <w:t>In relation to any accrued leave which an employer and employee agrees to cash out, make and keep a record of:</w:t>
            </w:r>
          </w:p>
          <w:p>
            <w:pPr>
              <w:pStyle w:val="bulletpoint"/>
              <w:rPr>
                <w:rFonts w:ascii="Arial" w:hAnsi="Arial" w:cs="Arial"/>
                <w:szCs w:val="20"/>
              </w:rPr>
            </w:pPr>
            <w:r>
              <w:rPr>
                <w:rFonts w:ascii="Arial" w:hAnsi="Arial" w:cs="Arial"/>
              </w:rPr>
              <w:t>A</w:t>
            </w:r>
            <w:r>
              <w:rPr>
                <w:rFonts w:ascii="Arial" w:hAnsi="Arial" w:cs="Arial"/>
                <w:szCs w:val="20"/>
              </w:rPr>
              <w:t xml:space="preserve"> copy of the agreement; and</w:t>
            </w:r>
          </w:p>
          <w:p>
            <w:pPr>
              <w:pStyle w:val="bulletpoint"/>
              <w:rPr>
                <w:rFonts w:ascii="Arial" w:hAnsi="Arial" w:cs="Arial"/>
                <w:szCs w:val="20"/>
              </w:rPr>
            </w:pPr>
            <w:r>
              <w:rPr>
                <w:rFonts w:ascii="Arial" w:hAnsi="Arial" w:cs="Arial"/>
                <w:szCs w:val="20"/>
              </w:rPr>
              <w:t>T</w:t>
            </w:r>
            <w:r>
              <w:rPr>
                <w:rFonts w:ascii="Arial" w:hAnsi="Arial" w:cs="Arial"/>
                <w:szCs w:val="20"/>
              </w:rPr>
              <w:t>he rate of payment for the amount of leave that was cashed out; and</w:t>
            </w:r>
          </w:p>
          <w:p>
            <w:pPr>
              <w:pStyle w:val="bulletpoint"/>
              <w:rPr>
                <w:rFonts w:ascii="Arial" w:hAnsi="Arial" w:cs="Arial"/>
                <w:szCs w:val="20"/>
              </w:rPr>
            </w:pPr>
            <w:r>
              <w:rPr>
                <w:rFonts w:ascii="Arial" w:hAnsi="Arial" w:cs="Arial"/>
                <w:szCs w:val="20"/>
              </w:rPr>
              <w:t>W</w:t>
            </w:r>
            <w:r>
              <w:rPr>
                <w:rFonts w:ascii="Arial" w:hAnsi="Arial" w:cs="Arial"/>
                <w:szCs w:val="20"/>
              </w:rPr>
              <w:t>hen the payment was made.</w:t>
            </w:r>
          </w:p>
        </w:tc>
        <w:tc>
          <w:tcPr>
            <w:tcW w:w="700" w:type="pct"/>
            <w:vAlign w:val="center"/>
          </w:tcPr>
          <w:p>
            <w:pPr>
              <w:pStyle w:val="ChecklistItem"/>
              <w:numPr>
                <w:ilvl w:val="0"/>
                <w:numId w:val="0"/>
              </w:numPr>
              <w:jc w:val="center"/>
              <w:rPr>
                <w:rFonts w:ascii="Arial" w:hAnsi="Arial" w:cs="Arial"/>
                <w:sz w:val="20"/>
                <w:szCs w:val="20"/>
              </w:rPr>
            </w:pPr>
            <w:r>
              <w:rPr>
                <w:rFonts w:ascii="Arial" w:hAnsi="Arial" w:cs="Arial"/>
                <w:sz w:val="20"/>
                <w:szCs w:val="20"/>
              </w:rPr>
              <w:sym w:font="Wingdings" w:char="F072"/>
            </w:r>
          </w:p>
        </w:tc>
      </w:tr>
      <w:tr>
        <w:tc>
          <w:tcPr>
            <w:tcW w:w="5000" w:type="pct"/>
            <w:gridSpan w:val="3"/>
            <w:shd w:val="clear" w:color="auto" w:fill="00A3E0" w:themeFill="accent3"/>
          </w:tcPr>
          <w:p>
            <w:pPr>
              <w:pStyle w:val="Heading2"/>
              <w:rPr>
                <w:rFonts w:ascii="Arial" w:hAnsi="Arial" w:cs="Arial"/>
                <w:color w:val="FFFFFF" w:themeColor="background1"/>
              </w:rPr>
            </w:pPr>
            <w:r>
              <w:rPr>
                <w:rStyle w:val="Bold"/>
                <w:rFonts w:ascii="Arial" w:hAnsi="Arial" w:cs="Arial"/>
                <w:b w:val="0"/>
                <w:bCs w:val="0"/>
                <w:color w:val="FFFFFF" w:themeColor="background1"/>
              </w:rPr>
              <w:t>Individual Flexibility Arrangement</w:t>
            </w:r>
          </w:p>
        </w:tc>
      </w:tr>
      <w:tr>
        <w:tc>
          <w:tcPr>
            <w:tcW w:w="350" w:type="pct"/>
          </w:tcPr>
          <w:p>
            <w:pPr>
              <w:pStyle w:val="BodyText"/>
              <w:rPr>
                <w:rFonts w:ascii="Arial" w:hAnsi="Arial" w:cs="Arial"/>
                <w:snapToGrid w:val="0"/>
              </w:rPr>
            </w:pPr>
            <w:r>
              <w:rPr>
                <w:rFonts w:ascii="Arial" w:hAnsi="Arial" w:cs="Arial"/>
              </w:rPr>
              <w:t xml:space="preserve"> </w:t>
            </w:r>
          </w:p>
        </w:tc>
        <w:tc>
          <w:tcPr>
            <w:tcW w:w="3950" w:type="pct"/>
          </w:tcPr>
          <w:p>
            <w:pPr>
              <w:pStyle w:val="BodyText"/>
              <w:rPr>
                <w:rFonts w:ascii="Arial" w:hAnsi="Arial" w:cs="Arial"/>
              </w:rPr>
            </w:pPr>
            <w:r>
              <w:rPr>
                <w:rFonts w:ascii="Arial" w:hAnsi="Arial" w:cs="Arial"/>
              </w:rPr>
              <w:t>In relation to any agreement in writing between an employee and employer for an individual flexibility arrangement, make and keep a record of:</w:t>
            </w:r>
          </w:p>
          <w:p>
            <w:pPr>
              <w:pStyle w:val="bulletpoint"/>
              <w:rPr>
                <w:rFonts w:ascii="Arial" w:hAnsi="Arial" w:cs="Arial"/>
                <w:szCs w:val="20"/>
              </w:rPr>
            </w:pPr>
            <w:r>
              <w:rPr>
                <w:rFonts w:ascii="Arial" w:hAnsi="Arial" w:cs="Arial"/>
              </w:rPr>
              <w:t>A</w:t>
            </w:r>
            <w:r>
              <w:rPr>
                <w:rFonts w:ascii="Arial" w:hAnsi="Arial" w:cs="Arial"/>
                <w:szCs w:val="20"/>
              </w:rPr>
              <w:t xml:space="preserve"> copy of the agreement; and</w:t>
            </w:r>
          </w:p>
          <w:p>
            <w:pPr>
              <w:pStyle w:val="bulletpoint"/>
              <w:rPr>
                <w:rFonts w:ascii="Arial" w:hAnsi="Arial" w:cs="Arial"/>
                <w:snapToGrid w:val="0"/>
                <w:szCs w:val="20"/>
              </w:rPr>
            </w:pPr>
            <w:r>
              <w:rPr>
                <w:rFonts w:ascii="Arial" w:hAnsi="Arial" w:cs="Arial"/>
                <w:szCs w:val="20"/>
              </w:rPr>
              <w:t>A</w:t>
            </w:r>
            <w:r>
              <w:rPr>
                <w:rFonts w:ascii="Arial" w:hAnsi="Arial" w:cs="Arial"/>
                <w:szCs w:val="20"/>
              </w:rPr>
              <w:t xml:space="preserve"> copy of the notice or agreement that terminates the agreement.</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5000" w:type="pct"/>
            <w:gridSpan w:val="3"/>
            <w:shd w:val="clear" w:color="auto" w:fill="00A3E0" w:themeFill="accent3"/>
          </w:tcPr>
          <w:p>
            <w:pPr>
              <w:pStyle w:val="Heading2"/>
              <w:rPr>
                <w:rFonts w:ascii="Arial" w:hAnsi="Arial" w:cs="Arial"/>
                <w:color w:val="FFFFFF" w:themeColor="background1"/>
              </w:rPr>
            </w:pPr>
            <w:r>
              <w:rPr>
                <w:rStyle w:val="Bold"/>
                <w:rFonts w:ascii="Arial" w:hAnsi="Arial" w:cs="Arial"/>
                <w:b w:val="0"/>
                <w:bCs w:val="0"/>
                <w:color w:val="FFFFFF" w:themeColor="background1"/>
              </w:rPr>
              <w:lastRenderedPageBreak/>
              <w:t>Guarantee of annual earnings</w:t>
            </w:r>
          </w:p>
        </w:tc>
      </w:tr>
      <w:tr>
        <w:tc>
          <w:tcPr>
            <w:tcW w:w="350" w:type="pct"/>
          </w:tcPr>
          <w:p>
            <w:pPr>
              <w:pStyle w:val="BodyText"/>
              <w:rPr>
                <w:rFonts w:ascii="Arial" w:hAnsi="Arial" w:cs="Arial"/>
                <w:snapToGrid w:val="0"/>
              </w:rPr>
            </w:pPr>
            <w:r>
              <w:rPr>
                <w:rFonts w:ascii="Arial" w:hAnsi="Arial" w:cs="Arial"/>
              </w:rPr>
              <w:t xml:space="preserve"> </w:t>
            </w:r>
          </w:p>
        </w:tc>
        <w:tc>
          <w:tcPr>
            <w:tcW w:w="3950" w:type="pct"/>
          </w:tcPr>
          <w:p>
            <w:pPr>
              <w:pStyle w:val="BodyText"/>
              <w:rPr>
                <w:rFonts w:ascii="Arial" w:hAnsi="Arial" w:cs="Arial"/>
              </w:rPr>
            </w:pPr>
            <w:r>
              <w:rPr>
                <w:rFonts w:ascii="Arial" w:hAnsi="Arial" w:cs="Arial"/>
              </w:rPr>
              <w:t>If an employer gives a guarantee of annual earnings, make and keep a record of:</w:t>
            </w:r>
          </w:p>
          <w:p>
            <w:pPr>
              <w:pStyle w:val="bulletpoint"/>
              <w:rPr>
                <w:rFonts w:ascii="Arial" w:hAnsi="Arial" w:cs="Arial"/>
                <w:szCs w:val="20"/>
              </w:rPr>
            </w:pPr>
            <w:r>
              <w:rPr>
                <w:rFonts w:ascii="Arial" w:hAnsi="Arial" w:cs="Arial"/>
              </w:rPr>
              <w:t>A</w:t>
            </w:r>
            <w:r>
              <w:rPr>
                <w:rFonts w:ascii="Arial" w:hAnsi="Arial" w:cs="Arial"/>
                <w:szCs w:val="20"/>
              </w:rPr>
              <w:t xml:space="preserve"> copy of the written guarantee; and</w:t>
            </w:r>
          </w:p>
          <w:p>
            <w:pPr>
              <w:pStyle w:val="bulletpoint"/>
              <w:rPr>
                <w:rFonts w:ascii="Arial" w:hAnsi="Arial" w:cs="Arial"/>
                <w:snapToGrid w:val="0"/>
                <w:szCs w:val="20"/>
              </w:rPr>
            </w:pPr>
            <w:r>
              <w:rPr>
                <w:rFonts w:ascii="Arial" w:hAnsi="Arial" w:cs="Arial"/>
                <w:szCs w:val="20"/>
              </w:rPr>
              <w:t>A</w:t>
            </w:r>
            <w:r>
              <w:rPr>
                <w:rFonts w:ascii="Arial" w:hAnsi="Arial" w:cs="Arial"/>
                <w:szCs w:val="20"/>
              </w:rPr>
              <w:t xml:space="preserve"> copy of any revocation of the written guarantee, with date noted on it.</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5000" w:type="pct"/>
            <w:gridSpan w:val="3"/>
            <w:shd w:val="clear" w:color="auto" w:fill="00A3E0" w:themeFill="accent3"/>
          </w:tcPr>
          <w:p>
            <w:pPr>
              <w:pStyle w:val="Heading2"/>
              <w:rPr>
                <w:rFonts w:ascii="Arial" w:hAnsi="Arial" w:cs="Arial"/>
                <w:color w:val="FFFFFF" w:themeColor="background1"/>
              </w:rPr>
            </w:pPr>
            <w:r>
              <w:rPr>
                <w:rStyle w:val="Bold"/>
                <w:rFonts w:ascii="Arial" w:hAnsi="Arial" w:cs="Arial"/>
                <w:b w:val="0"/>
                <w:bCs w:val="0"/>
                <w:color w:val="FFFFFF" w:themeColor="background1"/>
              </w:rPr>
              <w:t>Employee pay slips</w:t>
            </w:r>
          </w:p>
        </w:tc>
      </w:tr>
      <w:tr>
        <w:tc>
          <w:tcPr>
            <w:tcW w:w="350" w:type="pct"/>
          </w:tcPr>
          <w:p>
            <w:pPr>
              <w:pStyle w:val="BodyText"/>
              <w:rPr>
                <w:rFonts w:ascii="Arial" w:hAnsi="Arial" w:cs="Arial"/>
                <w:snapToGrid w:val="0"/>
              </w:rPr>
            </w:pPr>
            <w:r>
              <w:rPr>
                <w:rFonts w:ascii="Arial" w:hAnsi="Arial" w:cs="Arial"/>
              </w:rPr>
              <w:t> </w:t>
            </w:r>
          </w:p>
        </w:tc>
        <w:tc>
          <w:tcPr>
            <w:tcW w:w="3950" w:type="pct"/>
          </w:tcPr>
          <w:p>
            <w:pPr>
              <w:pStyle w:val="BodyText"/>
              <w:rPr>
                <w:rFonts w:ascii="Arial" w:hAnsi="Arial" w:cs="Arial"/>
                <w:snapToGrid w:val="0"/>
              </w:rPr>
            </w:pPr>
            <w:r>
              <w:rPr>
                <w:rFonts w:ascii="Arial" w:hAnsi="Arial" w:cs="Arial"/>
              </w:rPr>
              <w:t>Ensure pay slips are either in electronic form or hard copy</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350" w:type="pct"/>
          </w:tcPr>
          <w:p>
            <w:pPr>
              <w:pStyle w:val="BodyText"/>
              <w:rPr>
                <w:rFonts w:ascii="Arial" w:hAnsi="Arial" w:cs="Arial"/>
                <w:snapToGrid w:val="0"/>
              </w:rPr>
            </w:pPr>
            <w:r>
              <w:rPr>
                <w:rFonts w:ascii="Arial" w:hAnsi="Arial" w:cs="Arial"/>
              </w:rPr>
              <w:t> </w:t>
            </w:r>
          </w:p>
        </w:tc>
        <w:tc>
          <w:tcPr>
            <w:tcW w:w="3950" w:type="pct"/>
          </w:tcPr>
          <w:p>
            <w:pPr>
              <w:pStyle w:val="BodyText"/>
              <w:rPr>
                <w:rFonts w:ascii="Arial" w:hAnsi="Arial" w:cs="Arial"/>
              </w:rPr>
            </w:pPr>
            <w:r>
              <w:rPr>
                <w:rFonts w:ascii="Arial" w:hAnsi="Arial" w:cs="Arial"/>
              </w:rPr>
              <w:t>Ensure pay slips specify:</w:t>
            </w:r>
          </w:p>
          <w:p>
            <w:pPr>
              <w:pStyle w:val="bulletpoint"/>
              <w:rPr>
                <w:rFonts w:ascii="Arial" w:hAnsi="Arial" w:cs="Arial"/>
                <w:szCs w:val="20"/>
              </w:rPr>
            </w:pPr>
            <w:r>
              <w:rPr>
                <w:rFonts w:ascii="Arial" w:hAnsi="Arial" w:cs="Arial"/>
              </w:rPr>
              <w:t>T</w:t>
            </w:r>
            <w:r>
              <w:rPr>
                <w:rFonts w:ascii="Arial" w:hAnsi="Arial" w:cs="Arial"/>
                <w:szCs w:val="20"/>
              </w:rPr>
              <w:t>he employer’s name;</w:t>
            </w:r>
          </w:p>
          <w:p>
            <w:pPr>
              <w:pStyle w:val="bulletpoint"/>
              <w:rPr>
                <w:rFonts w:ascii="Arial" w:hAnsi="Arial" w:cs="Arial"/>
                <w:szCs w:val="20"/>
              </w:rPr>
            </w:pPr>
            <w:r>
              <w:rPr>
                <w:rFonts w:ascii="Arial" w:hAnsi="Arial" w:cs="Arial"/>
                <w:szCs w:val="20"/>
              </w:rPr>
              <w:t>T</w:t>
            </w:r>
            <w:r>
              <w:rPr>
                <w:rFonts w:ascii="Arial" w:hAnsi="Arial" w:cs="Arial"/>
                <w:szCs w:val="20"/>
              </w:rPr>
              <w:t>he employee’s name;</w:t>
            </w:r>
          </w:p>
          <w:p>
            <w:pPr>
              <w:pStyle w:val="bulletpoint"/>
              <w:rPr>
                <w:rFonts w:ascii="Arial" w:hAnsi="Arial" w:cs="Arial"/>
                <w:szCs w:val="20"/>
              </w:rPr>
            </w:pPr>
            <w:r>
              <w:rPr>
                <w:rFonts w:ascii="Arial" w:hAnsi="Arial" w:cs="Arial"/>
                <w:szCs w:val="20"/>
              </w:rPr>
              <w:t>T</w:t>
            </w:r>
            <w:r>
              <w:rPr>
                <w:rFonts w:ascii="Arial" w:hAnsi="Arial" w:cs="Arial"/>
                <w:szCs w:val="20"/>
              </w:rPr>
              <w:t>he period to which the pay slip relates;</w:t>
            </w:r>
          </w:p>
          <w:p>
            <w:pPr>
              <w:pStyle w:val="bulletpoint"/>
              <w:rPr>
                <w:rFonts w:ascii="Arial" w:hAnsi="Arial" w:cs="Arial"/>
                <w:szCs w:val="20"/>
              </w:rPr>
            </w:pPr>
            <w:r>
              <w:rPr>
                <w:rFonts w:ascii="Arial" w:hAnsi="Arial" w:cs="Arial"/>
                <w:szCs w:val="20"/>
              </w:rPr>
              <w:t>T</w:t>
            </w:r>
            <w:r>
              <w:rPr>
                <w:rFonts w:ascii="Arial" w:hAnsi="Arial" w:cs="Arial"/>
                <w:szCs w:val="20"/>
              </w:rPr>
              <w:t>he date on which the payment to which the pay slip relates was made;</w:t>
            </w:r>
          </w:p>
          <w:p>
            <w:pPr>
              <w:pStyle w:val="bulletpoint"/>
              <w:rPr>
                <w:rFonts w:ascii="Arial" w:hAnsi="Arial" w:cs="Arial"/>
                <w:szCs w:val="20"/>
              </w:rPr>
            </w:pPr>
            <w:r>
              <w:rPr>
                <w:rFonts w:ascii="Arial" w:hAnsi="Arial" w:cs="Arial"/>
                <w:szCs w:val="20"/>
              </w:rPr>
              <w:t>T</w:t>
            </w:r>
            <w:r>
              <w:rPr>
                <w:rFonts w:ascii="Arial" w:hAnsi="Arial" w:cs="Arial"/>
                <w:szCs w:val="20"/>
              </w:rPr>
              <w:t>he gross amount of the payment;</w:t>
            </w:r>
          </w:p>
          <w:p>
            <w:pPr>
              <w:pStyle w:val="bulletpoint"/>
              <w:rPr>
                <w:rFonts w:ascii="Arial" w:hAnsi="Arial" w:cs="Arial"/>
                <w:szCs w:val="20"/>
              </w:rPr>
            </w:pPr>
            <w:r>
              <w:rPr>
                <w:rFonts w:ascii="Arial" w:hAnsi="Arial" w:cs="Arial"/>
                <w:szCs w:val="20"/>
              </w:rPr>
              <w:t>T</w:t>
            </w:r>
            <w:r>
              <w:rPr>
                <w:rFonts w:ascii="Arial" w:hAnsi="Arial" w:cs="Arial"/>
                <w:szCs w:val="20"/>
              </w:rPr>
              <w:t>he net amount of the payment;</w:t>
            </w:r>
          </w:p>
          <w:p>
            <w:pPr>
              <w:pStyle w:val="bulletpoint"/>
              <w:rPr>
                <w:rFonts w:ascii="Arial" w:hAnsi="Arial" w:cs="Arial"/>
                <w:szCs w:val="20"/>
              </w:rPr>
            </w:pPr>
            <w:r>
              <w:rPr>
                <w:rFonts w:ascii="Arial" w:hAnsi="Arial" w:cs="Arial"/>
                <w:szCs w:val="20"/>
              </w:rPr>
              <w:t>A</w:t>
            </w:r>
            <w:r>
              <w:rPr>
                <w:rFonts w:ascii="Arial" w:hAnsi="Arial" w:cs="Arial"/>
                <w:szCs w:val="20"/>
              </w:rPr>
              <w:t>ny amount paid to the employee that is a bonus, loading, allowance, penalty rate, incentive-based payment or other separately identifiable entitlement; and</w:t>
            </w:r>
          </w:p>
          <w:p>
            <w:pPr>
              <w:pStyle w:val="bulletpoint"/>
              <w:rPr>
                <w:rFonts w:ascii="Arial" w:hAnsi="Arial" w:cs="Arial"/>
                <w:snapToGrid w:val="0"/>
                <w:szCs w:val="20"/>
              </w:rPr>
            </w:pPr>
            <w:r>
              <w:rPr>
                <w:rFonts w:ascii="Arial" w:hAnsi="Arial" w:cs="Arial"/>
                <w:szCs w:val="20"/>
              </w:rPr>
              <w:t>T</w:t>
            </w:r>
            <w:r>
              <w:rPr>
                <w:rFonts w:ascii="Arial" w:hAnsi="Arial" w:cs="Arial"/>
                <w:szCs w:val="20"/>
              </w:rPr>
              <w:t>he Australian Business Number (if any) of the employer.</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0"/>
                <w:szCs w:val="20"/>
              </w:rPr>
              <w:sym w:font="Wingdings" w:char="F072"/>
            </w:r>
          </w:p>
        </w:tc>
      </w:tr>
      <w:tr>
        <w:tc>
          <w:tcPr>
            <w:tcW w:w="350" w:type="pct"/>
          </w:tcPr>
          <w:p>
            <w:pPr>
              <w:pStyle w:val="BodyText"/>
              <w:rPr>
                <w:rFonts w:ascii="Arial" w:hAnsi="Arial" w:cs="Arial"/>
                <w:snapToGrid w:val="0"/>
              </w:rPr>
            </w:pPr>
            <w:r>
              <w:rPr>
                <w:rFonts w:ascii="Arial" w:hAnsi="Arial" w:cs="Arial"/>
              </w:rPr>
              <w:t> </w:t>
            </w:r>
          </w:p>
        </w:tc>
        <w:tc>
          <w:tcPr>
            <w:tcW w:w="3950" w:type="pct"/>
          </w:tcPr>
          <w:p>
            <w:pPr>
              <w:pStyle w:val="BodyText"/>
              <w:rPr>
                <w:rFonts w:ascii="Arial" w:hAnsi="Arial" w:cs="Arial"/>
                <w:snapToGrid w:val="0"/>
              </w:rPr>
            </w:pPr>
            <w:r>
              <w:rPr>
                <w:rFonts w:ascii="Arial" w:hAnsi="Arial" w:cs="Arial"/>
              </w:rPr>
              <w:t>For amounts deducted from the gross amount of the payment, include on the pay slip the name (or name and number) of the fund or account into which the deduction was paid.</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2"/>
                <w:szCs w:val="22"/>
              </w:rPr>
              <w:sym w:font="Wingdings" w:char="F072"/>
            </w:r>
          </w:p>
        </w:tc>
      </w:tr>
      <w:tr>
        <w:tc>
          <w:tcPr>
            <w:tcW w:w="350" w:type="pct"/>
          </w:tcPr>
          <w:p>
            <w:pPr>
              <w:pStyle w:val="BodyText"/>
              <w:rPr>
                <w:rFonts w:ascii="Arial" w:hAnsi="Arial" w:cs="Arial"/>
                <w:snapToGrid w:val="0"/>
              </w:rPr>
            </w:pPr>
            <w:r>
              <w:rPr>
                <w:rFonts w:ascii="Arial" w:hAnsi="Arial" w:cs="Arial"/>
              </w:rPr>
              <w:t> </w:t>
            </w:r>
          </w:p>
        </w:tc>
        <w:tc>
          <w:tcPr>
            <w:tcW w:w="3950" w:type="pct"/>
          </w:tcPr>
          <w:p>
            <w:pPr>
              <w:pStyle w:val="BodyText"/>
              <w:rPr>
                <w:rFonts w:ascii="Arial" w:hAnsi="Arial" w:cs="Arial"/>
              </w:rPr>
            </w:pPr>
            <w:r>
              <w:rPr>
                <w:rFonts w:ascii="Arial" w:hAnsi="Arial" w:cs="Arial"/>
              </w:rPr>
              <w:t>For employees paid at an hourly rate, include:</w:t>
            </w:r>
          </w:p>
          <w:p>
            <w:pPr>
              <w:pStyle w:val="bulletpoint"/>
              <w:rPr>
                <w:rFonts w:ascii="Arial" w:hAnsi="Arial" w:cs="Arial"/>
                <w:szCs w:val="20"/>
              </w:rPr>
            </w:pPr>
            <w:r>
              <w:rPr>
                <w:rFonts w:ascii="Arial" w:hAnsi="Arial" w:cs="Arial"/>
              </w:rPr>
              <w:t>T</w:t>
            </w:r>
            <w:r>
              <w:rPr>
                <w:rFonts w:ascii="Arial" w:hAnsi="Arial" w:cs="Arial"/>
                <w:szCs w:val="20"/>
              </w:rPr>
              <w:t>he rate of pay for the employee’s ordinary hours (however described);</w:t>
            </w:r>
          </w:p>
          <w:p>
            <w:pPr>
              <w:pStyle w:val="bulletpoint"/>
              <w:rPr>
                <w:rFonts w:ascii="Arial" w:hAnsi="Arial" w:cs="Arial"/>
                <w:szCs w:val="20"/>
              </w:rPr>
            </w:pPr>
            <w:r>
              <w:rPr>
                <w:rFonts w:ascii="Arial" w:hAnsi="Arial" w:cs="Arial"/>
                <w:szCs w:val="20"/>
              </w:rPr>
              <w:t>T</w:t>
            </w:r>
            <w:r>
              <w:rPr>
                <w:rFonts w:ascii="Arial" w:hAnsi="Arial" w:cs="Arial"/>
                <w:szCs w:val="20"/>
              </w:rPr>
              <w:t>he number of hours in that period for which the employee was employed at that rate; and</w:t>
            </w:r>
          </w:p>
          <w:p>
            <w:pPr>
              <w:pStyle w:val="bulletpoint"/>
              <w:rPr>
                <w:rFonts w:ascii="Arial" w:hAnsi="Arial" w:cs="Arial"/>
                <w:snapToGrid w:val="0"/>
                <w:szCs w:val="20"/>
              </w:rPr>
            </w:pPr>
            <w:r>
              <w:rPr>
                <w:rFonts w:ascii="Arial" w:hAnsi="Arial" w:cs="Arial"/>
                <w:szCs w:val="20"/>
              </w:rPr>
              <w:t>T</w:t>
            </w:r>
            <w:r>
              <w:rPr>
                <w:rFonts w:ascii="Arial" w:hAnsi="Arial" w:cs="Arial"/>
                <w:szCs w:val="20"/>
              </w:rPr>
              <w:t>he amount of the payment made at that rate.</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2"/>
                <w:szCs w:val="22"/>
              </w:rPr>
              <w:sym w:font="Wingdings" w:char="F072"/>
            </w:r>
          </w:p>
        </w:tc>
      </w:tr>
      <w:tr>
        <w:tc>
          <w:tcPr>
            <w:tcW w:w="350" w:type="pct"/>
          </w:tcPr>
          <w:p>
            <w:pPr>
              <w:pStyle w:val="BodyText"/>
              <w:rPr>
                <w:rFonts w:ascii="Arial" w:hAnsi="Arial" w:cs="Arial"/>
                <w:snapToGrid w:val="0"/>
              </w:rPr>
            </w:pPr>
            <w:r>
              <w:rPr>
                <w:rFonts w:ascii="Arial" w:hAnsi="Arial" w:cs="Arial"/>
              </w:rPr>
              <w:t> </w:t>
            </w:r>
          </w:p>
        </w:tc>
        <w:tc>
          <w:tcPr>
            <w:tcW w:w="3950" w:type="pct"/>
          </w:tcPr>
          <w:p>
            <w:pPr>
              <w:pStyle w:val="BodyText"/>
              <w:rPr>
                <w:rFonts w:ascii="Arial" w:hAnsi="Arial" w:cs="Arial"/>
                <w:snapToGrid w:val="0"/>
              </w:rPr>
            </w:pPr>
            <w:r>
              <w:rPr>
                <w:rFonts w:ascii="Arial" w:hAnsi="Arial" w:cs="Arial"/>
              </w:rPr>
              <w:t>For employees paid an annual rate of pay, include on the pay slip the rate as at the latest date to which the payment relates.</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2"/>
                <w:szCs w:val="22"/>
              </w:rPr>
              <w:sym w:font="Wingdings" w:char="F072"/>
            </w:r>
          </w:p>
        </w:tc>
      </w:tr>
      <w:tr>
        <w:tc>
          <w:tcPr>
            <w:tcW w:w="350" w:type="pct"/>
          </w:tcPr>
          <w:p>
            <w:pPr>
              <w:pStyle w:val="BodyText"/>
              <w:rPr>
                <w:rFonts w:ascii="Arial" w:hAnsi="Arial" w:cs="Arial"/>
                <w:snapToGrid w:val="0"/>
              </w:rPr>
            </w:pPr>
            <w:r>
              <w:rPr>
                <w:rFonts w:ascii="Arial" w:hAnsi="Arial" w:cs="Arial"/>
              </w:rPr>
              <w:t> </w:t>
            </w:r>
          </w:p>
        </w:tc>
        <w:tc>
          <w:tcPr>
            <w:tcW w:w="3950" w:type="pct"/>
          </w:tcPr>
          <w:p>
            <w:pPr>
              <w:pStyle w:val="BodyText"/>
              <w:rPr>
                <w:rFonts w:ascii="Arial" w:hAnsi="Arial" w:cs="Arial"/>
              </w:rPr>
            </w:pPr>
            <w:r>
              <w:rPr>
                <w:rFonts w:ascii="Arial" w:hAnsi="Arial" w:cs="Arial"/>
              </w:rPr>
              <w:t>For superannuation contributions* made for the benefit of an employee, include on the pay slip the amount of each contribution that the employer made during the period to which the pay slip relates.</w:t>
            </w:r>
          </w:p>
          <w:p>
            <w:pPr>
              <w:pStyle w:val="BodyText"/>
              <w:rPr>
                <w:rFonts w:ascii="Arial" w:hAnsi="Arial" w:cs="Arial"/>
              </w:rPr>
            </w:pPr>
            <w:r>
              <w:rPr>
                <w:rFonts w:ascii="Arial" w:hAnsi="Arial" w:cs="Arial"/>
              </w:rPr>
              <w:t>Then, include either:</w:t>
            </w:r>
          </w:p>
          <w:p>
            <w:pPr>
              <w:pStyle w:val="bulletpoint"/>
              <w:rPr>
                <w:rFonts w:ascii="Arial" w:hAnsi="Arial" w:cs="Arial"/>
                <w:szCs w:val="20"/>
              </w:rPr>
            </w:pPr>
            <w:r>
              <w:rPr>
                <w:rFonts w:ascii="Arial" w:hAnsi="Arial" w:cs="Arial"/>
              </w:rPr>
              <w:t>T</w:t>
            </w:r>
            <w:r>
              <w:rPr>
                <w:rFonts w:ascii="Arial" w:hAnsi="Arial" w:cs="Arial"/>
                <w:szCs w:val="20"/>
              </w:rPr>
              <w:t>he name, or the name and number, of any fund to which the contribution was made; or</w:t>
            </w:r>
          </w:p>
          <w:p>
            <w:pPr>
              <w:pStyle w:val="bulletpoint"/>
              <w:rPr>
                <w:rFonts w:ascii="Arial" w:hAnsi="Arial" w:cs="Arial"/>
                <w:szCs w:val="20"/>
              </w:rPr>
            </w:pPr>
            <w:r>
              <w:rPr>
                <w:rFonts w:ascii="Arial" w:hAnsi="Arial" w:cs="Arial"/>
                <w:szCs w:val="20"/>
              </w:rPr>
              <w:t>T</w:t>
            </w:r>
            <w:r>
              <w:rPr>
                <w:rFonts w:ascii="Arial" w:hAnsi="Arial" w:cs="Arial"/>
                <w:szCs w:val="20"/>
              </w:rPr>
              <w:t>he amounts of contributions that the employer is liable to make in relation to the period to which the pay slip relates, and the name, or the name and number, of any fund to which the contributions will be made.</w:t>
            </w:r>
          </w:p>
          <w:p>
            <w:pPr>
              <w:pStyle w:val="BodyText"/>
              <w:rPr>
                <w:rFonts w:ascii="Arial" w:hAnsi="Arial" w:cs="Arial"/>
                <w:snapToGrid w:val="0"/>
              </w:rPr>
            </w:pPr>
            <w:r>
              <w:rPr>
                <w:rFonts w:ascii="Arial" w:hAnsi="Arial" w:cs="Arial"/>
              </w:rPr>
              <w:t>* Other than a defined benefit interest in a defined benefit fund.</w:t>
            </w:r>
          </w:p>
        </w:tc>
        <w:tc>
          <w:tcPr>
            <w:tcW w:w="700" w:type="pct"/>
            <w:vAlign w:val="center"/>
          </w:tcPr>
          <w:p>
            <w:pPr>
              <w:pStyle w:val="ChecklistItem"/>
              <w:numPr>
                <w:ilvl w:val="0"/>
                <w:numId w:val="0"/>
              </w:numPr>
              <w:jc w:val="center"/>
              <w:rPr>
                <w:rFonts w:ascii="Arial" w:hAnsi="Arial" w:cs="Arial"/>
                <w:snapToGrid w:val="0"/>
                <w:sz w:val="20"/>
                <w:szCs w:val="20"/>
              </w:rPr>
            </w:pPr>
            <w:r>
              <w:rPr>
                <w:rFonts w:ascii="Arial" w:hAnsi="Arial" w:cs="Arial"/>
                <w:sz w:val="22"/>
                <w:szCs w:val="22"/>
              </w:rPr>
              <w:sym w:font="Wingdings" w:char="F072"/>
            </w:r>
          </w:p>
        </w:tc>
      </w:tr>
    </w:tbl>
    <w:p>
      <w:pPr>
        <w:spacing w:before="120" w:line="360" w:lineRule="auto"/>
        <w:jc w:val="both"/>
        <w:rPr>
          <w:rFonts w:ascii="Arial" w:hAnsi="Arial" w:cs="Arial"/>
          <w:b/>
        </w:rPr>
      </w:pPr>
      <w:r>
        <w:rPr>
          <w:rFonts w:ascii="Arial" w:hAnsi="Arial" w:cs="Arial"/>
          <w:u w:val="single"/>
        </w:rPr>
        <w:t xml:space="preserve"> </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Payment of Sa</w:t>
    </w:r>
    <w:r>
      <w:rPr>
        <w:sz w:val="16"/>
        <w:szCs w:val="16"/>
      </w:rPr>
      <w:t>la</w:t>
    </w:r>
    <w:r>
      <w:rPr>
        <w:sz w:val="16"/>
        <w:szCs w:val="16"/>
      </w:rPr>
      <w:t>ries and Wages Checklist V1 01/12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ECA86C8" wp14:editId="0AA15018">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790712C"/>
    <w:multiLevelType w:val="hybridMultilevel"/>
    <w:tmpl w:val="7D709D5C"/>
    <w:lvl w:ilvl="0" w:tplc="FFFFFFFF">
      <w:start w:val="1"/>
      <w:numFmt w:val="bullet"/>
      <w:pStyle w:val="ChecklistItem"/>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3"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6"/>
  </w:num>
  <w:num w:numId="3">
    <w:abstractNumId w:val="8"/>
  </w:num>
  <w:num w:numId="4">
    <w:abstractNumId w:val="0"/>
  </w:num>
  <w:num w:numId="5">
    <w:abstractNumId w:val="1"/>
  </w:num>
  <w:num w:numId="6">
    <w:abstractNumId w:val="2"/>
  </w:num>
  <w:num w:numId="7">
    <w:abstractNumId w:val="4"/>
  </w:num>
  <w:num w:numId="8">
    <w:abstractNumId w:val="12"/>
  </w:num>
  <w:num w:numId="9">
    <w:abstractNumId w:val="11"/>
  </w:num>
  <w:num w:numId="10">
    <w:abstractNumId w:val="3"/>
  </w:num>
  <w:num w:numId="11">
    <w:abstractNumId w:val="7"/>
  </w:num>
  <w:num w:numId="12">
    <w:abstractNumId w:val="13"/>
  </w:num>
  <w:num w:numId="13">
    <w:abstractNumId w:val="9"/>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BB"/>
    <w:rsid w:val="00003826"/>
    <w:rsid w:val="000669ED"/>
    <w:rsid w:val="00080BA6"/>
    <w:rsid w:val="00084220"/>
    <w:rsid w:val="000A62DE"/>
    <w:rsid w:val="000B191E"/>
    <w:rsid w:val="000C19C0"/>
    <w:rsid w:val="000C5304"/>
    <w:rsid w:val="000C6A20"/>
    <w:rsid w:val="00160F57"/>
    <w:rsid w:val="001905B2"/>
    <w:rsid w:val="00191FC7"/>
    <w:rsid w:val="001E72B8"/>
    <w:rsid w:val="001F3EED"/>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519B2"/>
    <w:rsid w:val="004B1867"/>
    <w:rsid w:val="0052159D"/>
    <w:rsid w:val="00554C2C"/>
    <w:rsid w:val="00556A41"/>
    <w:rsid w:val="005A5261"/>
    <w:rsid w:val="005B334A"/>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B28BB"/>
    <w:rsid w:val="00AC634B"/>
    <w:rsid w:val="00AD2D83"/>
    <w:rsid w:val="00AE0D79"/>
    <w:rsid w:val="00B04033"/>
    <w:rsid w:val="00B31DC8"/>
    <w:rsid w:val="00B610EC"/>
    <w:rsid w:val="00BF5584"/>
    <w:rsid w:val="00C11880"/>
    <w:rsid w:val="00C234B3"/>
    <w:rsid w:val="00C234C8"/>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3B98"/>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E14E464-4187-4B4C-BAE1-FBE2F6BB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BTBulleted">
    <w:name w:val="BTBulleted"/>
    <w:basedOn w:val="BodyText"/>
    <w:link w:val="BTBulletedChar"/>
    <w:uiPriority w:val="99"/>
    <w:rsid w:val="00AB28BB"/>
    <w:pPr>
      <w:numPr>
        <w:numId w:val="13"/>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AB28BB"/>
    <w:rPr>
      <w:rFonts w:ascii="Times New Roman" w:eastAsia="Times New Roman" w:hAnsi="Times New Roman" w:cs="Times New Roman"/>
      <w:lang w:val="en-GB"/>
    </w:rPr>
  </w:style>
  <w:style w:type="paragraph" w:customStyle="1" w:styleId="ChecklistItem">
    <w:name w:val="ChecklistItem"/>
    <w:basedOn w:val="BodyText"/>
    <w:uiPriority w:val="99"/>
    <w:rsid w:val="00AB28BB"/>
    <w:pPr>
      <w:numPr>
        <w:numId w:val="14"/>
      </w:numPr>
      <w:suppressAutoHyphens w:val="0"/>
    </w:pPr>
    <w:rPr>
      <w:rFonts w:ascii="Times New Roman" w:eastAsia="Times New Roman" w:hAnsi="Times New Roman" w:cs="Times New Roman"/>
      <w:sz w:val="24"/>
      <w:szCs w:val="24"/>
      <w:lang w:val="en-GB" w:eastAsia="en-US"/>
    </w:rPr>
  </w:style>
  <w:style w:type="character" w:customStyle="1" w:styleId="Bold">
    <w:name w:val="Bold"/>
    <w:uiPriority w:val="99"/>
    <w:rsid w:val="00AB28BB"/>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1193</Words>
  <Characters>6802</Characters>
  <DocSecurity>0</DocSecurity>
  <Lines>56</Lines>
  <Paragraphs>15</Paragraphs>
  <ScaleCrop>false</ScaleCrop>
  <HeadingPairs>
    <vt:vector size="2" baseType="variant">
      <vt:variant>
        <vt:lpstr>Title</vt:lpstr>
      </vt:variant>
      <vt:variant>
        <vt:i4>1</vt:i4>
      </vt:variant>
    </vt:vector>
  </HeadingPairs>
  <LinksUpToDate>false</LinksUpToDate>
  <CharactersWithSpaces>7980</CharactersWithSpaces>
  <SharedDoc>false</SharedDoc>
  <HyperlinksChanged>false</HyperlinksChanged>
</Properties>
</file>